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志愿服务乡村行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法治教育进万家</w:t>
      </w:r>
      <w:r>
        <w:rPr>
          <w:rFonts w:hint="eastAsia" w:ascii="仿宋_GB2312" w:hAnsi="仿宋_GB2312" w:eastAsia="仿宋_GB2312" w:cs="仿宋_GB2312"/>
          <w:sz w:val="32"/>
          <w:szCs w:val="32"/>
        </w:rPr>
        <w:t>”宣传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为扎实推进法治乡村建设，为乡村振兴提供法律援助服务和法治保障，10月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组织法律服务宣传队</w:t>
      </w:r>
      <w:r>
        <w:rPr>
          <w:rFonts w:hint="eastAsia" w:ascii="仿宋_GB2312" w:hAnsi="仿宋_GB2312" w:eastAsia="仿宋_GB2312" w:cs="仿宋_GB2312"/>
          <w:sz w:val="32"/>
          <w:szCs w:val="32"/>
        </w:rPr>
        <w:t>走进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尚店镇大黄</w:t>
      </w:r>
      <w:r>
        <w:rPr>
          <w:rFonts w:hint="eastAsia" w:ascii="仿宋_GB2312" w:hAnsi="仿宋_GB2312" w:eastAsia="仿宋_GB2312" w:cs="仿宋_GB2312"/>
          <w:sz w:val="32"/>
          <w:szCs w:val="32"/>
        </w:rPr>
        <w:t>村开展“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志愿服务乡村行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法治教育进万家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活动中，工作人员及志愿者向过往群众发放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《宪法》、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《民法典》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、《农民工法援手册》、八五普法读本</w:t>
      </w:r>
      <w:r>
        <w:rPr>
          <w:rFonts w:hint="eastAsia" w:ascii="仿宋_GB2312" w:hAnsi="仿宋_GB2312" w:eastAsia="仿宋_GB2312" w:cs="仿宋_GB2312"/>
          <w:sz w:val="32"/>
          <w:szCs w:val="32"/>
        </w:rPr>
        <w:t>等宣传资料和宣传手提袋，围裙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；法援中心张会丽主任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重点对法律援助申请条件和法律援助申请流程进行介绍，当场为大家答疑解惑，提供法律咨询，积极引导群众要知法、懂法、守法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普法讲师团成员王全红在大黄村委会议室现场给群众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上了一堂生动的法治课，</w:t>
      </w:r>
      <w:r>
        <w:rPr>
          <w:rFonts w:hint="eastAsia" w:ascii="仿宋_GB2312" w:hAnsi="仿宋_GB2312" w:eastAsia="仿宋_GB2312" w:cs="仿宋_GB2312"/>
          <w:sz w:val="32"/>
          <w:szCs w:val="32"/>
        </w:rPr>
        <w:t>他结合自身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常年来的农村工作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经验，通过介绍典型案例，多角度以案释法，向群众宣讲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知识，有效增强了群众运用法律武器维护自身合法权益的法治观念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农民群众纷纷表示，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送法到身边这样的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法治宣传活动接地气，听得懂、记得住、用得上，对生活有很大帮助，希望宣传活动以后持续深入地开展下去。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本次活动，共发放法律宣传资料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00余份，进一步提升了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司法行政工作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的知晓率，增强广大群众的法治观念，营造了法律服务助力乡村振兴的良好氛围。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F205137"/>
    <w:rsid w:val="108C531A"/>
    <w:rsid w:val="192003AF"/>
    <w:rsid w:val="599662FB"/>
    <w:rsid w:val="68A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2021-10-29T08:00:28Z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2B6729A9231547FA8676691A1BD9A81F</vt:lpwstr>
  </property>
</Properties>
</file>