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35E" w:rsidRPr="008E135E" w:rsidRDefault="008E135E" w:rsidP="008E135E">
      <w:pPr>
        <w:jc w:val="center"/>
        <w:rPr>
          <w:rFonts w:ascii="方正小标宋_GBK" w:eastAsia="方正小标宋_GBK" w:hint="eastAsia"/>
          <w:sz w:val="44"/>
          <w:szCs w:val="44"/>
        </w:rPr>
      </w:pPr>
      <w:r w:rsidRPr="008E135E">
        <w:rPr>
          <w:rFonts w:ascii="方正小标宋_GBK" w:eastAsia="方正小标宋_GBK" w:hint="eastAsia"/>
          <w:sz w:val="44"/>
          <w:szCs w:val="44"/>
        </w:rPr>
        <w:t>应急管理局重大危险源备案办事指南</w:t>
      </w:r>
    </w:p>
    <w:p w:rsidR="008E135E" w:rsidRPr="00490AF6" w:rsidRDefault="008E135E">
      <w:pPr>
        <w:rPr>
          <w:rFonts w:ascii="黑体" w:eastAsia="黑体" w:hAnsi="黑体" w:hint="eastAsia"/>
          <w:sz w:val="28"/>
          <w:szCs w:val="28"/>
        </w:rPr>
      </w:pPr>
      <w:r w:rsidRPr="00490AF6">
        <w:rPr>
          <w:rFonts w:ascii="黑体" w:eastAsia="黑体" w:hAnsi="黑体" w:hint="eastAsia"/>
          <w:sz w:val="28"/>
          <w:szCs w:val="28"/>
        </w:rPr>
        <w:t>●项目名称：</w:t>
      </w:r>
    </w:p>
    <w:p w:rsidR="008E135E" w:rsidRPr="00490AF6" w:rsidRDefault="008E135E">
      <w:pPr>
        <w:rPr>
          <w:rFonts w:ascii="仿宋" w:eastAsia="仿宋" w:hAnsi="仿宋" w:hint="eastAsia"/>
          <w:sz w:val="28"/>
          <w:szCs w:val="28"/>
        </w:rPr>
      </w:pPr>
      <w:r w:rsidRPr="00490AF6">
        <w:rPr>
          <w:rFonts w:ascii="仿宋" w:eastAsia="仿宋" w:hAnsi="仿宋" w:hint="eastAsia"/>
          <w:sz w:val="28"/>
          <w:szCs w:val="28"/>
        </w:rPr>
        <w:t>危险化学品重大危险源备案告知书</w:t>
      </w:r>
    </w:p>
    <w:p w:rsidR="008E135E" w:rsidRPr="00490AF6" w:rsidRDefault="008E135E">
      <w:pPr>
        <w:rPr>
          <w:rFonts w:ascii="黑体" w:eastAsia="黑体" w:hAnsi="黑体" w:hint="eastAsia"/>
          <w:sz w:val="28"/>
          <w:szCs w:val="28"/>
        </w:rPr>
      </w:pPr>
      <w:r w:rsidRPr="00490AF6">
        <w:rPr>
          <w:rFonts w:ascii="黑体" w:eastAsia="黑体" w:hAnsi="黑体" w:hint="eastAsia"/>
          <w:sz w:val="28"/>
          <w:szCs w:val="28"/>
        </w:rPr>
        <w:t>●设立依据</w:t>
      </w:r>
    </w:p>
    <w:p w:rsidR="008E135E" w:rsidRPr="00490AF6" w:rsidRDefault="008E135E">
      <w:pPr>
        <w:rPr>
          <w:rFonts w:ascii="仿宋" w:eastAsia="仿宋" w:hAnsi="仿宋" w:hint="eastAsia"/>
          <w:sz w:val="28"/>
          <w:szCs w:val="28"/>
        </w:rPr>
      </w:pPr>
      <w:r w:rsidRPr="00490AF6">
        <w:rPr>
          <w:rFonts w:ascii="仿宋" w:eastAsia="仿宋" w:hAnsi="仿宋" w:hint="eastAsia"/>
          <w:sz w:val="28"/>
          <w:szCs w:val="28"/>
        </w:rPr>
        <w:t>重大危险源备案设定依据:《危险化学品重大危险源监督管理暂行规定》第二十三条　危险化学品单位在完成重大危险源安全评估报告或者安全评价报告后15日内，应当填写重大危险源备案申请表，连同本规定第二十二条规定的重大危险源档案材料（其中第二款第五项规定的文件资料只需提供清单），报送所在地县级人民政府安全生产监督管理部门备案。</w:t>
      </w:r>
    </w:p>
    <w:p w:rsidR="008E135E" w:rsidRPr="00490AF6" w:rsidRDefault="008E135E">
      <w:pPr>
        <w:rPr>
          <w:rFonts w:ascii="黑体" w:eastAsia="黑体" w:hAnsi="黑体" w:hint="eastAsia"/>
          <w:sz w:val="28"/>
          <w:szCs w:val="28"/>
        </w:rPr>
      </w:pPr>
      <w:r w:rsidRPr="00490AF6">
        <w:rPr>
          <w:rFonts w:ascii="黑体" w:eastAsia="黑体" w:hAnsi="黑体" w:hint="eastAsia"/>
          <w:sz w:val="28"/>
          <w:szCs w:val="28"/>
        </w:rPr>
        <w:t>●申报材料</w:t>
      </w:r>
    </w:p>
    <w:p w:rsidR="008E135E" w:rsidRPr="00490AF6" w:rsidRDefault="008E135E" w:rsidP="008E135E">
      <w:pPr>
        <w:rPr>
          <w:rFonts w:ascii="仿宋" w:eastAsia="仿宋" w:hAnsi="仿宋" w:hint="eastAsia"/>
          <w:sz w:val="28"/>
          <w:szCs w:val="28"/>
        </w:rPr>
      </w:pPr>
      <w:r w:rsidRPr="00490AF6">
        <w:rPr>
          <w:rFonts w:ascii="仿宋" w:eastAsia="仿宋" w:hAnsi="仿宋" w:hint="eastAsia"/>
          <w:sz w:val="28"/>
          <w:szCs w:val="28"/>
        </w:rPr>
        <w:t xml:space="preserve">    1、重大危险源备案申请表2、辨识、分级记录；3、重大危险</w:t>
      </w:r>
      <w:proofErr w:type="gramStart"/>
      <w:r w:rsidRPr="00490AF6">
        <w:rPr>
          <w:rFonts w:ascii="仿宋" w:eastAsia="仿宋" w:hAnsi="仿宋" w:hint="eastAsia"/>
          <w:sz w:val="28"/>
          <w:szCs w:val="28"/>
        </w:rPr>
        <w:t>源基本</w:t>
      </w:r>
      <w:proofErr w:type="gramEnd"/>
      <w:r w:rsidRPr="00490AF6">
        <w:rPr>
          <w:rFonts w:ascii="仿宋" w:eastAsia="仿宋" w:hAnsi="仿宋" w:hint="eastAsia"/>
          <w:sz w:val="28"/>
          <w:szCs w:val="28"/>
        </w:rPr>
        <w:t>特征表；4、涉及的所有化学品安全技术说明书；5、区域位置图、平面布置图、工艺流程图和主要设备一览表；6、重大危险源安全管理规章制度及安全操作规程；7、安全监测监控系统、措施说明、检测、检验结果；8、重大危险源事故应急预案、评审意见、演练计划和评估报告；9、安全评估报告或者安全评价报告；10、重大危险</w:t>
      </w:r>
      <w:proofErr w:type="gramStart"/>
      <w:r w:rsidRPr="00490AF6">
        <w:rPr>
          <w:rFonts w:ascii="仿宋" w:eastAsia="仿宋" w:hAnsi="仿宋" w:hint="eastAsia"/>
          <w:sz w:val="28"/>
          <w:szCs w:val="28"/>
        </w:rPr>
        <w:t>源关键</w:t>
      </w:r>
      <w:proofErr w:type="gramEnd"/>
      <w:r w:rsidRPr="00490AF6">
        <w:rPr>
          <w:rFonts w:ascii="仿宋" w:eastAsia="仿宋" w:hAnsi="仿宋" w:hint="eastAsia"/>
          <w:sz w:val="28"/>
          <w:szCs w:val="28"/>
        </w:rPr>
        <w:t>装置、重点部位的责任人、责任机构名称；11、重大危险源场所安全警示标志的设置情况；12、其他文件、资料。</w:t>
      </w:r>
    </w:p>
    <w:p w:rsidR="008E135E" w:rsidRPr="00E33100" w:rsidRDefault="008E135E" w:rsidP="008E135E">
      <w:pPr>
        <w:rPr>
          <w:rFonts w:ascii="黑体" w:eastAsia="黑体" w:hAnsi="黑体" w:hint="eastAsia"/>
          <w:sz w:val="28"/>
          <w:szCs w:val="28"/>
        </w:rPr>
      </w:pPr>
      <w:r w:rsidRPr="00E33100">
        <w:rPr>
          <w:rFonts w:ascii="黑体" w:eastAsia="黑体" w:hAnsi="黑体" w:hint="eastAsia"/>
          <w:sz w:val="28"/>
          <w:szCs w:val="28"/>
        </w:rPr>
        <w:t>●办理时限</w:t>
      </w:r>
    </w:p>
    <w:p w:rsidR="008E135E" w:rsidRPr="00E33100" w:rsidRDefault="008E135E" w:rsidP="008E135E">
      <w:pPr>
        <w:pStyle w:val="a3"/>
        <w:ind w:left="360" w:firstLineChars="0" w:firstLine="0"/>
        <w:rPr>
          <w:rFonts w:ascii="仿宋" w:eastAsia="仿宋" w:hAnsi="仿宋" w:hint="eastAsia"/>
          <w:sz w:val="28"/>
          <w:szCs w:val="28"/>
        </w:rPr>
      </w:pPr>
      <w:r w:rsidRPr="00E33100">
        <w:rPr>
          <w:rFonts w:ascii="仿宋" w:eastAsia="仿宋" w:hAnsi="仿宋" w:hint="eastAsia"/>
          <w:sz w:val="28"/>
          <w:szCs w:val="28"/>
        </w:rPr>
        <w:t>法定20个工作日</w:t>
      </w:r>
    </w:p>
    <w:p w:rsidR="008E135E" w:rsidRPr="00E33100" w:rsidRDefault="008E135E" w:rsidP="008E135E">
      <w:pPr>
        <w:rPr>
          <w:rFonts w:ascii="黑体" w:eastAsia="黑体" w:hAnsi="黑体" w:hint="eastAsia"/>
          <w:sz w:val="28"/>
          <w:szCs w:val="28"/>
        </w:rPr>
      </w:pPr>
      <w:r w:rsidRPr="00E33100">
        <w:rPr>
          <w:rFonts w:ascii="黑体" w:eastAsia="黑体" w:hAnsi="黑体" w:hint="eastAsia"/>
          <w:sz w:val="28"/>
          <w:szCs w:val="28"/>
        </w:rPr>
        <w:t>●办理流程</w:t>
      </w:r>
    </w:p>
    <w:p w:rsidR="008E135E" w:rsidRPr="00E33100" w:rsidRDefault="008E135E" w:rsidP="008E135E">
      <w:pPr>
        <w:pStyle w:val="a3"/>
        <w:ind w:left="360" w:firstLineChars="0" w:firstLine="0"/>
        <w:rPr>
          <w:rFonts w:hint="eastAsia"/>
          <w:sz w:val="28"/>
          <w:szCs w:val="28"/>
        </w:rPr>
      </w:pPr>
      <w:r w:rsidRPr="00E33100">
        <w:rPr>
          <w:rFonts w:hint="eastAsia"/>
          <w:sz w:val="28"/>
          <w:szCs w:val="28"/>
        </w:rPr>
        <w:t>窗口受理</w:t>
      </w:r>
      <w:r w:rsidRPr="00E33100">
        <w:rPr>
          <w:rFonts w:asciiTheme="minorEastAsia" w:hAnsiTheme="minorEastAsia" w:hint="eastAsia"/>
          <w:sz w:val="28"/>
          <w:szCs w:val="28"/>
        </w:rPr>
        <w:t>→</w:t>
      </w:r>
      <w:r w:rsidRPr="00E33100">
        <w:rPr>
          <w:rFonts w:hint="eastAsia"/>
          <w:sz w:val="28"/>
          <w:szCs w:val="28"/>
        </w:rPr>
        <w:t>审查</w:t>
      </w:r>
      <w:r w:rsidRPr="00E33100">
        <w:rPr>
          <w:rFonts w:asciiTheme="minorEastAsia" w:hAnsiTheme="minorEastAsia" w:hint="eastAsia"/>
          <w:sz w:val="28"/>
          <w:szCs w:val="28"/>
        </w:rPr>
        <w:t>→</w:t>
      </w:r>
      <w:r w:rsidRPr="00E33100">
        <w:rPr>
          <w:rFonts w:hint="eastAsia"/>
          <w:sz w:val="28"/>
          <w:szCs w:val="28"/>
        </w:rPr>
        <w:t>决定</w:t>
      </w:r>
      <w:r w:rsidRPr="00E33100">
        <w:rPr>
          <w:rFonts w:asciiTheme="minorEastAsia" w:hAnsiTheme="minorEastAsia" w:hint="eastAsia"/>
          <w:sz w:val="28"/>
          <w:szCs w:val="28"/>
        </w:rPr>
        <w:t>→</w:t>
      </w:r>
      <w:r w:rsidRPr="00E33100">
        <w:rPr>
          <w:rFonts w:hint="eastAsia"/>
          <w:sz w:val="28"/>
          <w:szCs w:val="28"/>
        </w:rPr>
        <w:t>送达</w:t>
      </w:r>
    </w:p>
    <w:p w:rsidR="00490AF6" w:rsidRPr="00E33100" w:rsidRDefault="008E135E" w:rsidP="00490AF6">
      <w:pPr>
        <w:rPr>
          <w:rFonts w:ascii="黑体" w:eastAsia="黑体" w:hAnsi="黑体" w:hint="eastAsia"/>
          <w:sz w:val="28"/>
          <w:szCs w:val="28"/>
        </w:rPr>
      </w:pPr>
      <w:r w:rsidRPr="00E33100">
        <w:rPr>
          <w:rFonts w:ascii="黑体" w:eastAsia="黑体" w:hAnsi="黑体" w:hint="eastAsia"/>
          <w:sz w:val="28"/>
          <w:szCs w:val="28"/>
        </w:rPr>
        <w:t>●</w:t>
      </w:r>
      <w:r w:rsidR="00490AF6" w:rsidRPr="00E33100">
        <w:rPr>
          <w:rFonts w:ascii="黑体" w:eastAsia="黑体" w:hAnsi="黑体" w:hint="eastAsia"/>
          <w:sz w:val="28"/>
          <w:szCs w:val="28"/>
        </w:rPr>
        <w:t>收费标准及依</w:t>
      </w:r>
    </w:p>
    <w:p w:rsidR="008E135E" w:rsidRPr="00490AF6" w:rsidRDefault="00490AF6" w:rsidP="005E50C0">
      <w:pPr>
        <w:ind w:firstLineChars="300" w:firstLine="630"/>
        <w:rPr>
          <w:rFonts w:ascii="黑体" w:eastAsia="黑体" w:hAnsi="黑体" w:hint="eastAsia"/>
          <w:szCs w:val="21"/>
        </w:rPr>
      </w:pPr>
      <w:bookmarkStart w:id="0" w:name="_GoBack"/>
      <w:bookmarkEnd w:id="0"/>
      <w:r w:rsidRPr="00490AF6">
        <w:rPr>
          <w:rFonts w:ascii="黑体" w:eastAsia="黑体" w:hAnsi="黑体" w:hint="eastAsia"/>
          <w:szCs w:val="21"/>
        </w:rPr>
        <w:t>不收费</w:t>
      </w:r>
      <w:r>
        <w:rPr>
          <w:rFonts w:ascii="黑体" w:eastAsia="黑体" w:hAnsi="黑体" w:hint="eastAsia"/>
          <w:szCs w:val="21"/>
        </w:rPr>
        <w:t xml:space="preserve">                                                             </w:t>
      </w:r>
      <w:r w:rsidR="008E135E" w:rsidRPr="00490AF6">
        <w:rPr>
          <w:rFonts w:ascii="仿宋" w:eastAsia="仿宋" w:hAnsi="仿宋" w:hint="eastAsia"/>
          <w:szCs w:val="21"/>
        </w:rPr>
        <w:t>应急管理局</w:t>
      </w:r>
    </w:p>
    <w:p w:rsidR="008E135E" w:rsidRPr="00490AF6" w:rsidRDefault="008E135E" w:rsidP="008E135E">
      <w:pPr>
        <w:pStyle w:val="a3"/>
        <w:ind w:left="360" w:firstLineChars="0" w:firstLine="0"/>
        <w:jc w:val="right"/>
        <w:rPr>
          <w:rFonts w:ascii="仿宋" w:eastAsia="仿宋" w:hAnsi="仿宋" w:hint="eastAsia"/>
          <w:szCs w:val="21"/>
        </w:rPr>
      </w:pPr>
      <w:r w:rsidRPr="00490AF6">
        <w:rPr>
          <w:rFonts w:ascii="仿宋" w:eastAsia="仿宋" w:hAnsi="仿宋" w:hint="eastAsia"/>
          <w:szCs w:val="21"/>
        </w:rPr>
        <w:t>咨询电话：0375-8165969</w:t>
      </w:r>
    </w:p>
    <w:p w:rsidR="008E135E" w:rsidRPr="00490AF6" w:rsidRDefault="008E135E" w:rsidP="008E135E">
      <w:pPr>
        <w:pStyle w:val="a3"/>
        <w:ind w:left="360" w:firstLineChars="0" w:firstLine="0"/>
        <w:jc w:val="right"/>
        <w:rPr>
          <w:rFonts w:ascii="仿宋" w:eastAsia="仿宋" w:hAnsi="仿宋"/>
          <w:szCs w:val="21"/>
        </w:rPr>
      </w:pPr>
      <w:r w:rsidRPr="00490AF6">
        <w:rPr>
          <w:rFonts w:ascii="仿宋" w:eastAsia="仿宋" w:hAnsi="仿宋" w:hint="eastAsia"/>
          <w:szCs w:val="21"/>
        </w:rPr>
        <w:t>监督电话：0375-12350-2</w:t>
      </w:r>
    </w:p>
    <w:sectPr w:rsidR="008E135E" w:rsidRPr="00490AF6" w:rsidSect="00490AF6">
      <w:pgSz w:w="11906" w:h="16838"/>
      <w:pgMar w:top="873" w:right="1230" w:bottom="873" w:left="123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836AE8"/>
    <w:multiLevelType w:val="hybridMultilevel"/>
    <w:tmpl w:val="3E3043CA"/>
    <w:lvl w:ilvl="0" w:tplc="5E288B0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6974216"/>
    <w:multiLevelType w:val="hybridMultilevel"/>
    <w:tmpl w:val="A8DA4D56"/>
    <w:lvl w:ilvl="0" w:tplc="F510F6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35E"/>
    <w:rsid w:val="002C0F9C"/>
    <w:rsid w:val="00490AF6"/>
    <w:rsid w:val="005E50C0"/>
    <w:rsid w:val="008E135E"/>
    <w:rsid w:val="0092218A"/>
    <w:rsid w:val="00E33100"/>
    <w:rsid w:val="00F13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135E"/>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E135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512</Characters>
  <Application>Microsoft Office Word</Application>
  <DocSecurity>0</DocSecurity>
  <Lines>4</Lines>
  <Paragraphs>1</Paragraphs>
  <ScaleCrop>false</ScaleCrop>
  <Company>微软中国</Company>
  <LinksUpToDate>false</LinksUpToDate>
  <CharactersWithSpaces>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2019-06-20T01:59:00Z</dcterms:created>
  <dcterms:modified xsi:type="dcterms:W3CDTF">2019-06-20T02:00:00Z</dcterms:modified>
</cp:coreProperties>
</file>