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社会保障与基金监督股</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3443"/>
        <w:gridCol w:w="1300"/>
        <w:gridCol w:w="8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Align w:val="center"/>
          </w:tcPr>
          <w:p>
            <w:pPr>
              <w:spacing w:line="240" w:lineRule="exact"/>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Cs w:val="21"/>
              </w:rPr>
              <w:t>科室名称</w:t>
            </w:r>
          </w:p>
        </w:tc>
        <w:tc>
          <w:tcPr>
            <w:tcW w:w="3443" w:type="dxa"/>
            <w:vAlign w:val="center"/>
          </w:tcPr>
          <w:p>
            <w:pPr>
              <w:spacing w:line="240" w:lineRule="exact"/>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Cs w:val="21"/>
              </w:rPr>
              <w:t>科室职责</w:t>
            </w:r>
          </w:p>
        </w:tc>
        <w:tc>
          <w:tcPr>
            <w:tcW w:w="1300" w:type="dxa"/>
            <w:vAlign w:val="center"/>
          </w:tcPr>
          <w:p>
            <w:pPr>
              <w:spacing w:line="240" w:lineRule="exact"/>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Cs w:val="21"/>
              </w:rPr>
              <w:t>职责类别</w:t>
            </w:r>
          </w:p>
        </w:tc>
        <w:tc>
          <w:tcPr>
            <w:tcW w:w="8117" w:type="dxa"/>
            <w:vAlign w:val="center"/>
          </w:tcPr>
          <w:p>
            <w:pPr>
              <w:spacing w:line="240" w:lineRule="exact"/>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b/>
                <w:szCs w:val="21"/>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restart"/>
          </w:tcPr>
          <w:p>
            <w:pPr>
              <w:spacing w:line="240" w:lineRule="exact"/>
              <w:jc w:val="center"/>
              <w:rPr>
                <w:rFonts w:hint="eastAsia" w:ascii="仿宋_GB2312" w:hAnsi="仿宋_GB2312" w:eastAsia="仿宋_GB2312" w:cs="仿宋_GB2312"/>
                <w:szCs w:val="21"/>
                <w:lang w:eastAsia="zh-CN"/>
              </w:rPr>
            </w:pPr>
          </w:p>
          <w:p>
            <w:pPr>
              <w:rPr>
                <w:vertAlign w:val="baseline"/>
              </w:rPr>
            </w:pPr>
            <w:r>
              <w:rPr>
                <w:rFonts w:hint="eastAsia" w:ascii="仿宋" w:hAnsi="仿宋" w:eastAsia="仿宋" w:cs="仿宋"/>
                <w:b w:val="0"/>
                <w:bCs w:val="0"/>
                <w:sz w:val="21"/>
                <w:szCs w:val="21"/>
              </w:rPr>
              <w:t>社会保障与基金监督股</w:t>
            </w:r>
          </w:p>
        </w:tc>
        <w:tc>
          <w:tcPr>
            <w:tcW w:w="3443" w:type="dxa"/>
            <w:vMerge w:val="restart"/>
          </w:tcPr>
          <w:p>
            <w:pPr>
              <w:rPr>
                <w:vertAlign w:val="baseline"/>
              </w:rPr>
            </w:pPr>
            <w:r>
              <w:rPr>
                <w:rFonts w:hint="eastAsia" w:ascii="仿宋" w:hAnsi="仿宋" w:eastAsia="仿宋" w:cs="仿宋"/>
                <w:sz w:val="18"/>
                <w:szCs w:val="18"/>
              </w:rPr>
              <w:t>贯彻落实全市基本养老、失业、工伤等社会保险基金及企业(职业)年金、个人储蓄性养老保险基金监管制度;依法监督相关社会保险基金的收支、管理，按职责分工组织指导社会保险欺诈案件查处移送工作，承担舞钢市社会保险监督委员会办公室的日常工作。贯彻落实全市机关事业单位、企业职工基本养老保险政策</w:t>
            </w:r>
            <w:r>
              <w:rPr>
                <w:rFonts w:hint="eastAsia" w:ascii="仿宋" w:hAnsi="仿宋" w:eastAsia="仿宋" w:cs="仿宋"/>
                <w:sz w:val="18"/>
                <w:szCs w:val="18"/>
                <w:lang w:eastAsia="zh-CN"/>
              </w:rPr>
              <w:t>；</w:t>
            </w:r>
            <w:r>
              <w:rPr>
                <w:rFonts w:hint="eastAsia" w:ascii="仿宋" w:hAnsi="仿宋" w:eastAsia="仿宋" w:cs="仿宋"/>
                <w:sz w:val="18"/>
                <w:szCs w:val="18"/>
              </w:rPr>
              <w:t>贯彻执行企业(职业)年金政策和职工基本养老保险基金管理办法，完善基金预测预警制度;贯彻执行职工因病非因公死亡待遇政策、企业职工离退休政策，负责对全市企业职工退休工作的指导和监督;贯彻落实全市城乡居民基本养老保险和被征地农民社会保障政策、规划、标准和运行机制并监督实施;会同有关方面落实城乡居民基本养老保险基金管理办法，负责审查有关被征地农民社会保障安置措施;贯彻落实全市失业保险政策、标准和基金管理办法，建立失业监测和预警制度，贯彻执行预防、调节、控制较大规模失业和经济结构调整中涉及职工安置权益保障的政策、方案，贯彻执行省级失业保险调剂基金使用办法，负责市直统筹单位失业保险的管理及对全市失业保险经办业务的指导、监督、考核。贯彻落实全市工伤保险政策、规划和定点医疗机构、康复机构、残疾辅助器具安装机构的资格标准，贯彻落实工伤保险基金管理办法并组织实施，规范全市工伤认定和劳动能力鉴定，协调处理涉及工伤认定和劳动能力鉴定工作的重大事项和疑难问题。</w:t>
            </w:r>
          </w:p>
        </w:tc>
        <w:tc>
          <w:tcPr>
            <w:tcW w:w="1300" w:type="dxa"/>
            <w:vMerge w:val="restart"/>
          </w:tcPr>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vertAlign w:val="baseline"/>
              </w:rPr>
            </w:pPr>
            <w:r>
              <w:rPr>
                <w:rFonts w:hint="eastAsia" w:ascii="仿宋_GB2312" w:hAnsi="仿宋_GB2312" w:eastAsia="仿宋_GB2312" w:cs="仿宋_GB2312"/>
                <w:szCs w:val="21"/>
              </w:rPr>
              <w:t>行政处罚</w:t>
            </w: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1.立案岗：单位或个人骗取社会保险基金方面的行政处罚</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立案责任：对检查中发现或者接到举报投诉涉嫌违法行为或有关部门移送的违法案件，予以审查，决定是否立案。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vertAlign w:val="baseline"/>
              </w:rPr>
            </w:pP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调查岗：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vertAlign w:val="baseline"/>
              </w:rPr>
            </w:pP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3.审查岗：对案件违法事实、证据、调查取证程序、法律适用、处罚种类和幅度、当事人陈述申辩理由等方面进行审查，提出处理意见。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vertAlign w:val="baseline"/>
              </w:rPr>
            </w:pP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4.告知岗：告知责任:在作出行政处罚决定前，书面告知当事人拟做出的处罚决定的事实、理由、依据、处罚内容，以及当事人享有的陈述权、申辩权和听证权。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vertAlign w:val="baseline"/>
              </w:rPr>
            </w:pP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5.决定岗：决定责任：依法需要给予行政处罚的，应制作《行政处罚决定书》，载明违法事实和证据、处罚依据和内容、行政复议或提起行政诉讼的途径和期限等内容。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vertAlign w:val="baseline"/>
              </w:rPr>
            </w:pP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6.送达岗：送达责任：行政处罚决定书应当在宣告后当场交付当事人；当事人不在场的，行政机关应当在七日内依照民事诉讼法的有关规定，将行政处罚决定书送达当事人。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restart"/>
          </w:tcPr>
          <w:p>
            <w:pPr>
              <w:rPr>
                <w:rFonts w:hint="eastAsia" w:ascii="仿宋" w:hAnsi="仿宋" w:eastAsia="仿宋" w:cs="仿宋"/>
                <w:vertAlign w:val="baseline"/>
              </w:rPr>
            </w:pPr>
          </w:p>
          <w:p>
            <w:pPr>
              <w:rPr>
                <w:rFonts w:hint="eastAsia" w:ascii="仿宋" w:hAnsi="仿宋" w:eastAsia="仿宋" w:cs="仿宋"/>
                <w:vertAlign w:val="baseline"/>
              </w:rPr>
            </w:pPr>
          </w:p>
          <w:p>
            <w:pPr>
              <w:rPr>
                <w:rFonts w:hint="eastAsia" w:ascii="仿宋" w:hAnsi="仿宋" w:eastAsia="仿宋" w:cs="仿宋"/>
                <w:vertAlign w:val="baseline"/>
              </w:rPr>
            </w:pPr>
          </w:p>
          <w:p>
            <w:pPr>
              <w:rPr>
                <w:rFonts w:hint="eastAsia" w:ascii="仿宋" w:hAnsi="仿宋" w:eastAsia="仿宋" w:cs="仿宋"/>
                <w:vertAlign w:val="baseline"/>
              </w:rPr>
            </w:pPr>
          </w:p>
          <w:p>
            <w:pPr>
              <w:rPr>
                <w:rFonts w:hint="eastAsia" w:ascii="仿宋" w:hAnsi="仿宋" w:eastAsia="仿宋" w:cs="仿宋"/>
                <w:vertAlign w:val="baseline"/>
                <w:lang w:eastAsia="zh-CN"/>
              </w:rPr>
            </w:pPr>
            <w:r>
              <w:rPr>
                <w:rFonts w:hint="eastAsia" w:ascii="仿宋" w:hAnsi="仿宋" w:eastAsia="仿宋" w:cs="仿宋"/>
                <w:vertAlign w:val="baseline"/>
                <w:lang w:eastAsia="zh-CN"/>
              </w:rPr>
              <w:t>行政确认</w:t>
            </w:r>
          </w:p>
          <w:p>
            <w:pPr>
              <w:rPr>
                <w:rFonts w:hint="eastAsia" w:ascii="仿宋" w:hAnsi="仿宋" w:eastAsia="仿宋" w:cs="仿宋"/>
                <w:vertAlign w:val="baseline"/>
              </w:rPr>
            </w:pPr>
          </w:p>
        </w:tc>
        <w:tc>
          <w:tcPr>
            <w:tcW w:w="8117"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1.受理岗：工伤认定</w:t>
            </w:r>
            <w:r>
              <w:rPr>
                <w:rFonts w:hint="eastAsia" w:ascii="仿宋" w:hAnsi="仿宋" w:eastAsia="仿宋" w:cs="仿宋"/>
                <w:szCs w:val="21"/>
                <w:lang w:eastAsia="zh-CN"/>
              </w:rPr>
              <w:t xml:space="preserve">。受理责任：公示依法应当提交的材料；一次性告知补正材料，依法受理或不予受理（不予受理的应当告知理由）。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rFonts w:hint="eastAsia" w:ascii="仿宋" w:hAnsi="仿宋" w:eastAsia="仿宋" w:cs="仿宋"/>
                <w:vertAlign w:val="baseline"/>
              </w:rPr>
            </w:pPr>
          </w:p>
        </w:tc>
        <w:tc>
          <w:tcPr>
            <w:tcW w:w="8117"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 xml:space="preserve">2.审查岗：审查责任：根据需要对提供的材料及相关证据进行调查核实。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rFonts w:hint="eastAsia" w:ascii="仿宋" w:hAnsi="仿宋" w:eastAsia="仿宋" w:cs="仿宋"/>
                <w:vertAlign w:val="baseline"/>
              </w:rPr>
            </w:pPr>
          </w:p>
        </w:tc>
        <w:tc>
          <w:tcPr>
            <w:tcW w:w="8117"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 xml:space="preserve">3.决定岗：决定责任：劳动保障行政部门根据法律、法规作出工伤认定决定。（认定决定包括工伤或视同工伤的认定决定和不属于工伤或不视同工伤的认定决定）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rFonts w:hint="eastAsia" w:ascii="仿宋" w:hAnsi="仿宋" w:eastAsia="仿宋" w:cs="仿宋"/>
                <w:vertAlign w:val="baseline"/>
              </w:rPr>
            </w:pPr>
          </w:p>
        </w:tc>
        <w:tc>
          <w:tcPr>
            <w:tcW w:w="8117"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 xml:space="preserve">4.送达岗：送达责任：制作送达文书，按规定送达受伤害职工（或者其近亲属）和用人单位。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rFonts w:hint="eastAsia" w:ascii="仿宋" w:hAnsi="仿宋" w:eastAsia="仿宋" w:cs="仿宋"/>
                <w:vertAlign w:val="baseline"/>
              </w:rPr>
            </w:pPr>
          </w:p>
        </w:tc>
        <w:tc>
          <w:tcPr>
            <w:tcW w:w="8117" w:type="dxa"/>
            <w:vAlign w:val="center"/>
          </w:tcPr>
          <w:p>
            <w:pPr>
              <w:spacing w:line="240" w:lineRule="exact"/>
              <w:rPr>
                <w:rFonts w:hint="eastAsia" w:ascii="仿宋" w:hAnsi="仿宋" w:eastAsia="仿宋" w:cs="仿宋"/>
                <w:kern w:val="2"/>
                <w:sz w:val="21"/>
                <w:szCs w:val="21"/>
                <w:lang w:val="en-US" w:eastAsia="zh-CN" w:bidi="ar-SA"/>
              </w:rPr>
            </w:pPr>
            <w:r>
              <w:rPr>
                <w:rFonts w:hint="eastAsia" w:ascii="仿宋" w:hAnsi="仿宋" w:eastAsia="仿宋" w:cs="仿宋"/>
                <w:szCs w:val="21"/>
              </w:rPr>
              <w:t xml:space="preserve">5.事后监管岗：事后监管责任：建立实施监督检查的运行机制和管理制度，加强监管。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restart"/>
          </w:tcPr>
          <w:p>
            <w:pPr>
              <w:rPr>
                <w:rFonts w:hint="eastAsia" w:ascii="仿宋" w:hAnsi="仿宋" w:eastAsia="仿宋" w:cs="仿宋"/>
                <w:vertAlign w:val="baseline"/>
                <w:lang w:eastAsia="zh-CN"/>
              </w:rPr>
            </w:pPr>
          </w:p>
          <w:p>
            <w:pPr>
              <w:rPr>
                <w:rFonts w:hint="eastAsia" w:ascii="仿宋" w:hAnsi="仿宋" w:eastAsia="仿宋" w:cs="仿宋"/>
                <w:vertAlign w:val="baseline"/>
                <w:lang w:eastAsia="zh-CN"/>
              </w:rPr>
            </w:pPr>
          </w:p>
          <w:p>
            <w:pPr>
              <w:rPr>
                <w:rFonts w:hint="eastAsia" w:ascii="仿宋" w:hAnsi="仿宋" w:eastAsia="仿宋" w:cs="仿宋"/>
                <w:vertAlign w:val="baseline"/>
                <w:lang w:eastAsia="zh-CN"/>
              </w:rPr>
            </w:pPr>
          </w:p>
          <w:p>
            <w:pPr>
              <w:rPr>
                <w:rFonts w:hint="eastAsia" w:ascii="仿宋" w:hAnsi="仿宋" w:eastAsia="仿宋" w:cs="仿宋"/>
                <w:vertAlign w:val="baseline"/>
                <w:lang w:eastAsia="zh-CN"/>
              </w:rPr>
            </w:pPr>
            <w:r>
              <w:rPr>
                <w:rFonts w:hint="eastAsia" w:ascii="仿宋" w:hAnsi="仿宋" w:eastAsia="仿宋" w:cs="仿宋"/>
                <w:vertAlign w:val="baseline"/>
                <w:lang w:eastAsia="zh-CN"/>
              </w:rPr>
              <w:t>行政检查</w:t>
            </w: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1.检查岗：社会保险基金监督检查</w:t>
            </w:r>
            <w:r>
              <w:rPr>
                <w:rFonts w:hint="eastAsia" w:ascii="仿宋_GB2312" w:hAnsi="仿宋_GB2312" w:eastAsia="仿宋_GB2312" w:cs="仿宋_GB2312"/>
                <w:szCs w:val="21"/>
                <w:lang w:eastAsia="zh-CN"/>
              </w:rPr>
              <w:t>。检查责任：检查要依法进行，检查前要向被检查单位下发通知，载明检查时间、地点、检查形式和检查事项；检查要2个以上执法人员参加，并应当出示合法证件。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rFonts w:hint="eastAsia" w:ascii="仿宋" w:hAnsi="仿宋" w:eastAsia="仿宋" w:cs="仿宋"/>
                <w:vertAlign w:val="baseline"/>
              </w:rPr>
            </w:pP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2.处置岗：处置责任：形成检查意见和整改建议，并填写检查意见反馈表，对检查中发现的问题提出整改意见限期整改。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rFonts w:hint="eastAsia" w:ascii="仿宋" w:hAnsi="仿宋" w:eastAsia="仿宋" w:cs="仿宋"/>
                <w:vertAlign w:val="baseline"/>
              </w:rPr>
            </w:pP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3.公开岗：信息公开责任：检查要公开进行，接受各方监督；检查情况和处置结论公开。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restart"/>
          </w:tcPr>
          <w:p>
            <w:pPr>
              <w:rPr>
                <w:rFonts w:hint="eastAsia" w:ascii="仿宋" w:hAnsi="仿宋" w:eastAsia="仿宋" w:cs="仿宋"/>
                <w:vertAlign w:val="baseline"/>
                <w:lang w:eastAsia="zh-CN"/>
              </w:rPr>
            </w:pPr>
          </w:p>
          <w:p>
            <w:pPr>
              <w:rPr>
                <w:rFonts w:hint="eastAsia" w:ascii="仿宋" w:hAnsi="仿宋" w:eastAsia="仿宋" w:cs="仿宋"/>
                <w:vertAlign w:val="baseline"/>
                <w:lang w:eastAsia="zh-CN"/>
              </w:rPr>
            </w:pPr>
          </w:p>
          <w:p>
            <w:pPr>
              <w:rPr>
                <w:rFonts w:hint="eastAsia" w:ascii="仿宋" w:hAnsi="仿宋" w:eastAsia="仿宋" w:cs="仿宋"/>
                <w:vertAlign w:val="baseline"/>
                <w:lang w:eastAsia="zh-CN"/>
              </w:rPr>
            </w:pPr>
            <w:r>
              <w:rPr>
                <w:rFonts w:hint="eastAsia" w:ascii="仿宋" w:hAnsi="仿宋" w:eastAsia="仿宋" w:cs="仿宋"/>
                <w:vertAlign w:val="baseline"/>
                <w:lang w:eastAsia="zh-CN"/>
              </w:rPr>
              <w:t>其他职权</w:t>
            </w: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1.</w:t>
            </w:r>
            <w:r>
              <w:rPr>
                <w:rFonts w:hint="eastAsia" w:ascii="仿宋_GB2312" w:hAnsi="仿宋_GB2312" w:eastAsia="仿宋_GB2312" w:cs="仿宋_GB2312"/>
                <w:szCs w:val="21"/>
                <w:lang w:eastAsia="zh-CN"/>
              </w:rPr>
              <w:t>受理</w:t>
            </w:r>
            <w:r>
              <w:rPr>
                <w:rFonts w:hint="eastAsia" w:ascii="仿宋_GB2312" w:hAnsi="仿宋_GB2312" w:eastAsia="仿宋_GB2312" w:cs="仿宋_GB2312"/>
                <w:szCs w:val="21"/>
              </w:rPr>
              <w:t>岗：企业年金方案备案</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一次性告知单位申报企业年金方案备案的补正资料；依规受理或不予受理（不予受理应当告知理由）。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rFonts w:hint="eastAsia" w:ascii="仿宋" w:hAnsi="仿宋" w:eastAsia="仿宋" w:cs="仿宋"/>
                <w:vertAlign w:val="baseline"/>
              </w:rPr>
            </w:pP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审查</w:t>
            </w:r>
            <w:r>
              <w:rPr>
                <w:rFonts w:hint="eastAsia" w:ascii="仿宋_GB2312" w:hAnsi="仿宋_GB2312" w:eastAsia="仿宋_GB2312" w:cs="仿宋_GB2312"/>
                <w:szCs w:val="21"/>
              </w:rPr>
              <w:t>岗：(1)参加人数是否符合规定(2)单位和个人是否欠缴养老保险金(3)待遇的归属和领取是否合规(4)方案调整和终止是否符合程序。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rFonts w:hint="eastAsia" w:ascii="仿宋" w:hAnsi="仿宋" w:eastAsia="仿宋" w:cs="仿宋"/>
                <w:vertAlign w:val="baseline"/>
              </w:rPr>
            </w:pP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3.</w:t>
            </w:r>
            <w:r>
              <w:rPr>
                <w:rFonts w:hint="eastAsia" w:ascii="仿宋_GB2312" w:hAnsi="仿宋_GB2312" w:eastAsia="仿宋_GB2312" w:cs="仿宋_GB2312"/>
                <w:szCs w:val="21"/>
                <w:lang w:eastAsia="zh-CN"/>
              </w:rPr>
              <w:t>决定</w:t>
            </w:r>
            <w:r>
              <w:rPr>
                <w:rFonts w:hint="eastAsia" w:ascii="仿宋_GB2312" w:hAnsi="仿宋_GB2312" w:eastAsia="仿宋_GB2312" w:cs="仿宋_GB2312"/>
                <w:szCs w:val="21"/>
              </w:rPr>
              <w:t>岗：在规定的期限内作出书面决定（不予确认的应说明理由）。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rFonts w:hint="eastAsia" w:ascii="仿宋" w:hAnsi="仿宋" w:eastAsia="仿宋" w:cs="仿宋"/>
                <w:vertAlign w:val="baseline"/>
              </w:rPr>
            </w:pP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rPr>
              <w:t>4.</w:t>
            </w:r>
            <w:r>
              <w:rPr>
                <w:rFonts w:hint="eastAsia" w:ascii="仿宋_GB2312" w:hAnsi="仿宋_GB2312" w:eastAsia="仿宋_GB2312" w:cs="仿宋_GB2312"/>
                <w:szCs w:val="21"/>
                <w:lang w:eastAsia="zh-CN"/>
              </w:rPr>
              <w:t>送达</w:t>
            </w:r>
            <w:r>
              <w:rPr>
                <w:rFonts w:hint="eastAsia" w:ascii="仿宋_GB2312" w:hAnsi="仿宋_GB2312" w:eastAsia="仿宋_GB2312" w:cs="仿宋_GB2312"/>
                <w:szCs w:val="21"/>
              </w:rPr>
              <w:t>岗：制作送达文书，按规定送达用人单位。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9" w:type="dxa"/>
            <w:vMerge w:val="continue"/>
          </w:tcPr>
          <w:p>
            <w:pPr>
              <w:rPr>
                <w:vertAlign w:val="baseline"/>
              </w:rPr>
            </w:pPr>
          </w:p>
        </w:tc>
        <w:tc>
          <w:tcPr>
            <w:tcW w:w="3443" w:type="dxa"/>
            <w:vMerge w:val="continue"/>
          </w:tcPr>
          <w:p>
            <w:pPr>
              <w:rPr>
                <w:vertAlign w:val="baseline"/>
              </w:rPr>
            </w:pPr>
          </w:p>
        </w:tc>
        <w:tc>
          <w:tcPr>
            <w:tcW w:w="1300" w:type="dxa"/>
            <w:vMerge w:val="continue"/>
          </w:tcPr>
          <w:p>
            <w:pPr>
              <w:rPr>
                <w:rFonts w:hint="eastAsia" w:ascii="仿宋" w:hAnsi="仿宋" w:eastAsia="仿宋" w:cs="仿宋"/>
                <w:vertAlign w:val="baseline"/>
              </w:rPr>
            </w:pPr>
          </w:p>
        </w:tc>
        <w:tc>
          <w:tcPr>
            <w:tcW w:w="8117" w:type="dxa"/>
            <w:vAlign w:val="center"/>
          </w:tcPr>
          <w:p>
            <w:pPr>
              <w:spacing w:line="240" w:lineRule="exact"/>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w:t>
            </w:r>
            <w:r>
              <w:rPr>
                <w:rFonts w:hint="eastAsia" w:ascii="仿宋_GB2312" w:hAnsi="仿宋_GB2312" w:eastAsia="仿宋_GB2312" w:cs="仿宋_GB2312"/>
                <w:szCs w:val="21"/>
                <w:lang w:eastAsia="zh-CN"/>
              </w:rPr>
              <w:t>事后监督</w:t>
            </w:r>
            <w:r>
              <w:rPr>
                <w:rFonts w:hint="eastAsia" w:ascii="仿宋_GB2312" w:hAnsi="仿宋_GB2312" w:eastAsia="仿宋_GB2312" w:cs="仿宋_GB2312"/>
                <w:szCs w:val="21"/>
              </w:rPr>
              <w:t>岗：监理实施监督检查的运行机制和管理制度，加强监管。</w:t>
            </w: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05AD1"/>
    <w:rsid w:val="3A302C75"/>
    <w:rsid w:val="3BE201B5"/>
    <w:rsid w:val="6D905A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2019-11-06T02:52:00Z</dcterms:created>
  <dc:creator>古藤</dc:creator>
  <cp:lastModifiedBy>古藤</cp:lastModifiedBy>
  <dcterms:modified xsi:type="dcterms:W3CDTF">2019-11-08T07:37:02Z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