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rPr>
          <w:rFonts w:hint="eastAsia" w:ascii="方正小标宋简体" w:hAnsi="仿宋" w:eastAsia="方正小标宋简体"/>
          <w:b/>
          <w:color w:val="000000"/>
          <w:sz w:val="32"/>
          <w:szCs w:val="32"/>
        </w:rPr>
      </w:pPr>
      <w:r>
        <w:rPr>
          <w:rFonts w:hint="eastAsia" w:ascii="方正小标宋简体" w:hAnsi="仿宋" w:eastAsia="方正小标宋简体"/>
          <w:b/>
          <w:bCs/>
          <w:color w:val="000000"/>
          <w:kern w:val="0"/>
          <w:sz w:val="32"/>
          <w:szCs w:val="32"/>
        </w:rPr>
        <w:t>《社会艺术水平考级管理办法》（文化部第31号令）行政处罚裁量标准</w:t>
      </w:r>
    </w:p>
    <w:p>
      <w:pPr>
        <w:widowControl/>
        <w:spacing w:line="450" w:lineRule="atLeast"/>
        <w:jc w:val="center"/>
        <w:rPr>
          <w:rFonts w:hint="eastAsia" w:ascii="仿宋" w:hAnsi="仿宋" w:eastAsia="仿宋"/>
          <w:color w:val="000000"/>
          <w:sz w:val="24"/>
          <w:szCs w:val="24"/>
        </w:rPr>
      </w:pPr>
      <w:r>
        <w:rPr>
          <w:rFonts w:hint="eastAsia" w:ascii="仿宋" w:hAnsi="仿宋" w:eastAsia="仿宋"/>
          <w:color w:val="000000"/>
          <w:kern w:val="0"/>
          <w:sz w:val="24"/>
          <w:szCs w:val="24"/>
        </w:rPr>
        <w:t xml:space="preserve"> </w:t>
      </w:r>
    </w:p>
    <w:tbl>
      <w:tblPr>
        <w:tblStyle w:val="2"/>
        <w:tblW w:w="13930" w:type="dxa"/>
        <w:tblInd w:w="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27"/>
        <w:gridCol w:w="3816"/>
        <w:gridCol w:w="884"/>
        <w:gridCol w:w="1066"/>
        <w:gridCol w:w="4417"/>
        <w:gridCol w:w="31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627" w:type="dxa"/>
            <w:tcBorders>
              <w:top w:val="inset" w:color="auto" w:sz="6" w:space="0"/>
              <w:left w:val="inset" w:color="auto" w:sz="6" w:space="0"/>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序号</w:t>
            </w:r>
          </w:p>
        </w:tc>
        <w:tc>
          <w:tcPr>
            <w:tcW w:w="381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行政处罚依据</w:t>
            </w:r>
          </w:p>
        </w:tc>
        <w:tc>
          <w:tcPr>
            <w:tcW w:w="884"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项</w:t>
            </w: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裁量阶次</w:t>
            </w:r>
          </w:p>
        </w:tc>
        <w:tc>
          <w:tcPr>
            <w:tcW w:w="4417"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违法行为表现情形</w:t>
            </w:r>
          </w:p>
        </w:tc>
        <w:tc>
          <w:tcPr>
            <w:tcW w:w="312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restart"/>
            <w:tcBorders>
              <w:top w:val="nil"/>
              <w:left w:val="inset" w:color="auto" w:sz="6" w:space="0"/>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1</w:t>
            </w:r>
          </w:p>
        </w:tc>
        <w:tc>
          <w:tcPr>
            <w:tcW w:w="3816" w:type="dxa"/>
            <w:vMerge w:val="restart"/>
            <w:tcBorders>
              <w:top w:val="nil"/>
              <w:left w:val="nil"/>
              <w:bottom w:val="inset" w:color="auto" w:sz="6" w:space="0"/>
              <w:right w:val="inset" w:color="auto" w:sz="6" w:space="0"/>
            </w:tcBorders>
            <w:vAlign w:val="center"/>
          </w:tcPr>
          <w:p>
            <w:pPr>
              <w:widowControl/>
              <w:spacing w:line="330" w:lineRule="atLeast"/>
              <w:rPr>
                <w:rFonts w:ascii="仿宋" w:hAnsi="仿宋" w:eastAsia="仿宋"/>
                <w:sz w:val="24"/>
                <w:szCs w:val="24"/>
              </w:rPr>
            </w:pPr>
            <w:r>
              <w:rPr>
                <w:rFonts w:hint="eastAsia" w:ascii="仿宋" w:hAnsi="仿宋" w:eastAsia="仿宋"/>
                <w:kern w:val="0"/>
                <w:sz w:val="24"/>
                <w:szCs w:val="24"/>
              </w:rPr>
              <w:t>《社会艺术水平考级管理办法》第二十九条：“未经批准擅自或者变相开办艺术考级活动的，由文化行政部门责令其停止违法活动并退还其所收取的费用，宣布考试无效，并处以10000元以上30000元以下的罚款。</w:t>
            </w:r>
          </w:p>
        </w:tc>
        <w:tc>
          <w:tcPr>
            <w:tcW w:w="884"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一般违法行为</w:t>
            </w:r>
          </w:p>
        </w:tc>
        <w:tc>
          <w:tcPr>
            <w:tcW w:w="441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未经批准擅自或变相开办艺术考级活动，考级活动尚未进行被及时发现制止的。</w:t>
            </w:r>
          </w:p>
        </w:tc>
        <w:tc>
          <w:tcPr>
            <w:tcW w:w="3120"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责令停止考级活动，退还其所收取的费用，处以1万元罚款。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3816"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884"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较重违法行为</w:t>
            </w:r>
          </w:p>
        </w:tc>
        <w:tc>
          <w:tcPr>
            <w:tcW w:w="441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未经批准擅自或变相开办艺术考级活动，被文化行政部门查处，在规定的时间内取消考级活动、退还所收取的费用的。</w:t>
            </w:r>
          </w:p>
        </w:tc>
        <w:tc>
          <w:tcPr>
            <w:tcW w:w="3120"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责令停止考级活动，宣布考试无效，处1万元至2万元的罚款。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3816"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884"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严重违法行为</w:t>
            </w:r>
          </w:p>
        </w:tc>
        <w:tc>
          <w:tcPr>
            <w:tcW w:w="441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未经批准擅自或变相开办艺术考级活动，被文化行政部门查处，不按规定整改，给社会造成恶劣影响的。</w:t>
            </w:r>
          </w:p>
        </w:tc>
        <w:tc>
          <w:tcPr>
            <w:tcW w:w="3120"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责令停止考级活动，退还其所收取的费用，处2万元至3万元罚款。</w:t>
            </w:r>
          </w:p>
        </w:tc>
      </w:tr>
    </w:tbl>
    <w:tbl>
      <w:tblPr>
        <w:tblStyle w:val="2"/>
        <w:tblpPr w:leftFromText="180" w:rightFromText="180" w:vertAnchor="text" w:horzAnchor="page" w:tblpX="1492" w:tblpY="329"/>
        <w:tblOverlap w:val="never"/>
        <w:tblW w:w="139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26"/>
        <w:gridCol w:w="3927"/>
        <w:gridCol w:w="817"/>
        <w:gridCol w:w="1066"/>
        <w:gridCol w:w="4517"/>
        <w:gridCol w:w="29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6" w:type="dxa"/>
            <w:tcBorders>
              <w:top w:val="inset" w:color="auto" w:sz="6" w:space="0"/>
              <w:left w:val="inset" w:color="auto" w:sz="6" w:space="0"/>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序号</w:t>
            </w:r>
          </w:p>
        </w:tc>
        <w:tc>
          <w:tcPr>
            <w:tcW w:w="392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行政处罚依据</w:t>
            </w:r>
          </w:p>
        </w:tc>
        <w:tc>
          <w:tcPr>
            <w:tcW w:w="81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项</w:t>
            </w: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裁量阶次</w:t>
            </w:r>
          </w:p>
        </w:tc>
        <w:tc>
          <w:tcPr>
            <w:tcW w:w="451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违法行为表现情形</w:t>
            </w:r>
          </w:p>
        </w:tc>
        <w:tc>
          <w:tcPr>
            <w:tcW w:w="294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6" w:type="dxa"/>
            <w:vMerge w:val="restart"/>
            <w:tcBorders>
              <w:top w:val="nil"/>
              <w:left w:val="inset" w:color="auto" w:sz="6" w:space="0"/>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2</w:t>
            </w:r>
          </w:p>
        </w:tc>
        <w:tc>
          <w:tcPr>
            <w:tcW w:w="3927" w:type="dxa"/>
            <w:vMerge w:val="restart"/>
            <w:tcBorders>
              <w:top w:val="nil"/>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《社会艺术水平考级管理办法》第三十条：“艺术考级有下列行为之一的，由文化行政部门予以警告，责令改正并处以1000元以上3000元以下罚款：</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（一）未按规定报审批机关备案即发布考级简章的；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（二）组织艺术考级活动未按规定将考级时间、考级地点、考生数量、考场安排等情况报文化行政部门备案的；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（三）艺术考级活动结束后未按规定将发放艺术考级证书的名单报文化行政部门备案的；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（四）艺术考级考官及考级工作主要负责人、办公地点有变动未按规定向审批机关备案的。”</w:t>
            </w:r>
          </w:p>
        </w:tc>
        <w:tc>
          <w:tcPr>
            <w:tcW w:w="817" w:type="dxa"/>
            <w:vMerge w:val="restart"/>
            <w:tcBorders>
              <w:top w:val="nil"/>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（一）未按</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规定报审批机关备案即发布考级简章的</w:t>
            </w: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一般违法行为</w:t>
            </w:r>
          </w:p>
        </w:tc>
        <w:tc>
          <w:tcPr>
            <w:tcW w:w="451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未按规定报审批机关备案即发布考级简章，检查中主动说明情况并提供相关材料，且积极纠正整改的。</w:t>
            </w:r>
          </w:p>
        </w:tc>
        <w:tc>
          <w:tcPr>
            <w:tcW w:w="29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予以警告、责令限期改正，处1000元罚款。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6"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392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81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较重违法行为</w:t>
            </w:r>
          </w:p>
        </w:tc>
        <w:tc>
          <w:tcPr>
            <w:tcW w:w="451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未按规定报审批机关备案即发布考级简章，且内容与实际情况不符。</w:t>
            </w:r>
          </w:p>
        </w:tc>
        <w:tc>
          <w:tcPr>
            <w:tcW w:w="29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予以警告并责令限期整改，处1000元至2000元罚款。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6"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392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81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严重违法行为</w:t>
            </w:r>
          </w:p>
        </w:tc>
        <w:tc>
          <w:tcPr>
            <w:tcW w:w="451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未按规定报审批机关备案即发布考级简章，经文化行政部门查处后继续进行考级活动的。</w:t>
            </w:r>
          </w:p>
        </w:tc>
        <w:tc>
          <w:tcPr>
            <w:tcW w:w="29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予以警告、责令限期整改并处2000元至3000元罚款。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29" w:hRule="atLeast"/>
        </w:trPr>
        <w:tc>
          <w:tcPr>
            <w:tcW w:w="626" w:type="dxa"/>
            <w:tcBorders>
              <w:top w:val="inset" w:color="auto" w:sz="6" w:space="0"/>
              <w:left w:val="inset" w:color="auto" w:sz="6" w:space="0"/>
              <w:bottom w:val="inset" w:color="auto" w:sz="6" w:space="0"/>
              <w:right w:val="inset" w:color="auto" w:sz="6" w:space="0"/>
            </w:tcBorders>
            <w:vAlign w:val="center"/>
          </w:tcPr>
          <w:p>
            <w:pPr>
              <w:widowControl/>
              <w:spacing w:line="450" w:lineRule="atLeast"/>
              <w:jc w:val="center"/>
              <w:rPr>
                <w:rFonts w:ascii="仿宋" w:hAnsi="仿宋" w:eastAsia="仿宋"/>
                <w:sz w:val="24"/>
                <w:szCs w:val="24"/>
              </w:rPr>
            </w:pPr>
            <w:r>
              <w:rPr>
                <w:rFonts w:hint="eastAsia" w:ascii="仿宋" w:hAnsi="仿宋" w:eastAsia="仿宋"/>
                <w:kern w:val="0"/>
                <w:sz w:val="24"/>
                <w:szCs w:val="24"/>
              </w:rPr>
              <w:t>序号</w:t>
            </w:r>
          </w:p>
        </w:tc>
        <w:tc>
          <w:tcPr>
            <w:tcW w:w="3927"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行政处罚依据</w:t>
            </w:r>
          </w:p>
        </w:tc>
        <w:tc>
          <w:tcPr>
            <w:tcW w:w="817"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项</w:t>
            </w: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裁量阶次</w:t>
            </w:r>
          </w:p>
        </w:tc>
        <w:tc>
          <w:tcPr>
            <w:tcW w:w="4517"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违法行为表现情形</w:t>
            </w:r>
          </w:p>
        </w:tc>
        <w:tc>
          <w:tcPr>
            <w:tcW w:w="2947" w:type="dxa"/>
            <w:tcBorders>
              <w:top w:val="inset" w:color="auto" w:sz="6" w:space="0"/>
              <w:left w:val="nil"/>
              <w:bottom w:val="inset" w:color="auto" w:sz="6" w:space="0"/>
              <w:right w:val="inset" w:color="auto" w:sz="6" w:space="0"/>
            </w:tcBorders>
            <w:vAlign w:val="center"/>
          </w:tcPr>
          <w:p>
            <w:pPr>
              <w:widowControl/>
              <w:spacing w:line="330" w:lineRule="atLeast"/>
              <w:jc w:val="center"/>
              <w:rPr>
                <w:rFonts w:hint="eastAsia" w:ascii="仿宋" w:hAnsi="仿宋" w:eastAsia="仿宋"/>
                <w:kern w:val="0"/>
                <w:sz w:val="24"/>
                <w:szCs w:val="24"/>
              </w:rPr>
            </w:pPr>
            <w:r>
              <w:rPr>
                <w:rFonts w:hint="eastAsia" w:ascii="仿宋" w:hAnsi="仿宋" w:eastAsia="仿宋"/>
                <w:kern w:val="0"/>
                <w:sz w:val="24"/>
                <w:szCs w:val="24"/>
              </w:rPr>
              <w:t>行政处罚标准</w:t>
            </w:r>
          </w:p>
          <w:p>
            <w:pPr>
              <w:widowControl/>
              <w:spacing w:line="330" w:lineRule="atLeast"/>
              <w:jc w:val="center"/>
              <w:rPr>
                <w:rFonts w:hint="eastAsia" w:ascii="仿宋" w:hAnsi="仿宋" w:eastAsia="仿宋"/>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6" w:type="dxa"/>
            <w:vMerge w:val="restart"/>
            <w:tcBorders>
              <w:top w:val="nil"/>
              <w:left w:val="inset" w:color="auto" w:sz="6" w:space="0"/>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3</w:t>
            </w:r>
          </w:p>
        </w:tc>
        <w:tc>
          <w:tcPr>
            <w:tcW w:w="3927" w:type="dxa"/>
            <w:vMerge w:val="restart"/>
            <w:tcBorders>
              <w:top w:val="nil"/>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　</w:t>
            </w:r>
          </w:p>
        </w:tc>
        <w:tc>
          <w:tcPr>
            <w:tcW w:w="817" w:type="dxa"/>
            <w:vMerge w:val="restart"/>
            <w:tcBorders>
              <w:top w:val="nil"/>
              <w:left w:val="nil"/>
              <w:bottom w:val="inset" w:color="auto" w:sz="6" w:space="0"/>
              <w:right w:val="inset" w:color="auto" w:sz="6" w:space="0"/>
            </w:tcBorders>
            <w:vAlign w:val="center"/>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（二）组织艺术考级活动未按规定将考级时间、考级地点、考生数量等情况报文化行政部门备案的</w:t>
            </w: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一般违法行为</w:t>
            </w:r>
          </w:p>
        </w:tc>
        <w:tc>
          <w:tcPr>
            <w:tcW w:w="4517" w:type="dxa"/>
            <w:tcBorders>
              <w:top w:val="inset" w:color="auto" w:sz="6" w:space="0"/>
              <w:left w:val="nil"/>
              <w:bottom w:val="inset" w:color="auto" w:sz="6" w:space="0"/>
              <w:right w:val="inset" w:color="auto" w:sz="6" w:space="0"/>
            </w:tcBorders>
            <w:vAlign w:val="center"/>
          </w:tcPr>
          <w:p>
            <w:pPr>
              <w:widowControl/>
              <w:spacing w:line="330" w:lineRule="atLeast"/>
              <w:rPr>
                <w:rFonts w:ascii="仿宋" w:hAnsi="仿宋" w:eastAsia="仿宋"/>
                <w:sz w:val="24"/>
                <w:szCs w:val="24"/>
              </w:rPr>
            </w:pPr>
            <w:r>
              <w:rPr>
                <w:rFonts w:hint="eastAsia" w:ascii="仿宋" w:hAnsi="仿宋" w:eastAsia="仿宋"/>
                <w:kern w:val="0"/>
                <w:sz w:val="24"/>
                <w:szCs w:val="24"/>
              </w:rPr>
              <w:t>未按规定进行考前备案，经文化行政部门查处后能说明情况并及时进行补办相关手续的。</w:t>
            </w:r>
          </w:p>
        </w:tc>
        <w:tc>
          <w:tcPr>
            <w:tcW w:w="2947" w:type="dxa"/>
            <w:tcBorders>
              <w:top w:val="inset" w:color="auto" w:sz="6" w:space="0"/>
              <w:left w:val="nil"/>
              <w:bottom w:val="inset" w:color="auto" w:sz="6" w:space="0"/>
              <w:right w:val="inset" w:color="auto" w:sz="6" w:space="0"/>
            </w:tcBorders>
            <w:vAlign w:val="center"/>
          </w:tcPr>
          <w:p>
            <w:pPr>
              <w:widowControl/>
              <w:spacing w:line="330" w:lineRule="atLeast"/>
              <w:rPr>
                <w:rFonts w:ascii="仿宋" w:hAnsi="仿宋" w:eastAsia="仿宋"/>
                <w:sz w:val="24"/>
                <w:szCs w:val="24"/>
              </w:rPr>
            </w:pPr>
            <w:r>
              <w:rPr>
                <w:rFonts w:hint="eastAsia" w:ascii="仿宋" w:hAnsi="仿宋" w:eastAsia="仿宋"/>
                <w:kern w:val="0"/>
                <w:sz w:val="24"/>
                <w:szCs w:val="24"/>
              </w:rPr>
              <w:t>责令改正，限期补办相关手续，罚款1000元。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6"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392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81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较重违法行为</w:t>
            </w:r>
          </w:p>
        </w:tc>
        <w:tc>
          <w:tcPr>
            <w:tcW w:w="4517" w:type="dxa"/>
            <w:tcBorders>
              <w:top w:val="inset" w:color="auto" w:sz="6" w:space="0"/>
              <w:left w:val="nil"/>
              <w:bottom w:val="inset" w:color="auto" w:sz="6" w:space="0"/>
              <w:right w:val="inset" w:color="auto" w:sz="6" w:space="0"/>
            </w:tcBorders>
            <w:vAlign w:val="center"/>
          </w:tcPr>
          <w:p>
            <w:pPr>
              <w:widowControl/>
              <w:spacing w:line="330" w:lineRule="atLeast"/>
              <w:rPr>
                <w:rFonts w:ascii="仿宋" w:hAnsi="仿宋" w:eastAsia="仿宋"/>
                <w:sz w:val="24"/>
                <w:szCs w:val="24"/>
              </w:rPr>
            </w:pPr>
            <w:r>
              <w:rPr>
                <w:rFonts w:hint="eastAsia" w:ascii="仿宋" w:hAnsi="仿宋" w:eastAsia="仿宋"/>
                <w:kern w:val="0"/>
                <w:sz w:val="24"/>
                <w:szCs w:val="24"/>
              </w:rPr>
              <w:t>未按规定到文化行政部门进行考前备案且无正当理由的。</w:t>
            </w:r>
          </w:p>
        </w:tc>
        <w:tc>
          <w:tcPr>
            <w:tcW w:w="2947" w:type="dxa"/>
            <w:tcBorders>
              <w:top w:val="inset" w:color="auto" w:sz="6" w:space="0"/>
              <w:left w:val="nil"/>
              <w:bottom w:val="inset" w:color="auto" w:sz="6" w:space="0"/>
              <w:right w:val="inset" w:color="auto" w:sz="6" w:space="0"/>
            </w:tcBorders>
            <w:vAlign w:val="center"/>
          </w:tcPr>
          <w:p>
            <w:pPr>
              <w:widowControl/>
              <w:spacing w:line="330" w:lineRule="atLeast"/>
              <w:rPr>
                <w:rFonts w:ascii="仿宋" w:hAnsi="仿宋" w:eastAsia="仿宋"/>
                <w:sz w:val="24"/>
                <w:szCs w:val="24"/>
              </w:rPr>
            </w:pPr>
            <w:r>
              <w:rPr>
                <w:rFonts w:hint="eastAsia" w:ascii="仿宋" w:hAnsi="仿宋" w:eastAsia="仿宋"/>
                <w:kern w:val="0"/>
                <w:sz w:val="24"/>
                <w:szCs w:val="24"/>
              </w:rPr>
              <w:t>予以警告，责令改正，处1000元至2000元罚款。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04" w:hRule="atLeast"/>
        </w:trPr>
        <w:tc>
          <w:tcPr>
            <w:tcW w:w="626"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392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81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严重违法行为</w:t>
            </w:r>
          </w:p>
        </w:tc>
        <w:tc>
          <w:tcPr>
            <w:tcW w:w="4517" w:type="dxa"/>
            <w:tcBorders>
              <w:top w:val="inset" w:color="auto" w:sz="6" w:space="0"/>
              <w:left w:val="nil"/>
              <w:bottom w:val="inset" w:color="auto" w:sz="6" w:space="0"/>
              <w:right w:val="inset" w:color="auto" w:sz="6" w:space="0"/>
            </w:tcBorders>
            <w:vAlign w:val="center"/>
          </w:tcPr>
          <w:p>
            <w:pPr>
              <w:widowControl/>
              <w:spacing w:line="330" w:lineRule="atLeast"/>
              <w:rPr>
                <w:rFonts w:ascii="仿宋" w:hAnsi="仿宋" w:eastAsia="仿宋"/>
                <w:sz w:val="24"/>
                <w:szCs w:val="24"/>
              </w:rPr>
            </w:pPr>
            <w:r>
              <w:rPr>
                <w:rFonts w:hint="eastAsia" w:ascii="仿宋" w:hAnsi="仿宋" w:eastAsia="仿宋"/>
                <w:kern w:val="0"/>
                <w:sz w:val="24"/>
                <w:szCs w:val="24"/>
              </w:rPr>
              <w:t>未按规定进行考前备案，经文化行政部门查处后，不能按期整改且继续进行考级活动的。</w:t>
            </w:r>
          </w:p>
        </w:tc>
        <w:tc>
          <w:tcPr>
            <w:tcW w:w="2947" w:type="dxa"/>
            <w:tcBorders>
              <w:top w:val="inset" w:color="auto" w:sz="6" w:space="0"/>
              <w:left w:val="nil"/>
              <w:bottom w:val="inset" w:color="auto" w:sz="6" w:space="0"/>
              <w:right w:val="inset" w:color="auto" w:sz="6" w:space="0"/>
            </w:tcBorders>
          </w:tcPr>
          <w:p>
            <w:pPr>
              <w:widowControl/>
              <w:spacing w:line="330" w:lineRule="atLeast"/>
              <w:jc w:val="both"/>
              <w:rPr>
                <w:rFonts w:ascii="仿宋" w:hAnsi="仿宋" w:eastAsia="仿宋"/>
                <w:sz w:val="24"/>
                <w:szCs w:val="24"/>
              </w:rPr>
            </w:pPr>
            <w:r>
              <w:rPr>
                <w:rFonts w:hint="eastAsia" w:ascii="仿宋" w:hAnsi="仿宋" w:eastAsia="仿宋"/>
                <w:kern w:val="0"/>
                <w:sz w:val="24"/>
                <w:szCs w:val="24"/>
              </w:rPr>
              <w:t>予以警告，责令改正，处2000元至3000元罚款。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6" w:type="dxa"/>
            <w:tcBorders>
              <w:top w:val="inset" w:color="auto" w:sz="6" w:space="0"/>
              <w:left w:val="inset" w:color="auto" w:sz="6" w:space="0"/>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序号</w:t>
            </w:r>
          </w:p>
        </w:tc>
        <w:tc>
          <w:tcPr>
            <w:tcW w:w="392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行政处罚依据</w:t>
            </w:r>
          </w:p>
        </w:tc>
        <w:tc>
          <w:tcPr>
            <w:tcW w:w="81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项</w:t>
            </w:r>
          </w:p>
        </w:tc>
        <w:tc>
          <w:tcPr>
            <w:tcW w:w="1066"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裁量阶次</w:t>
            </w:r>
          </w:p>
        </w:tc>
        <w:tc>
          <w:tcPr>
            <w:tcW w:w="451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违法行为表现情形</w:t>
            </w:r>
          </w:p>
        </w:tc>
        <w:tc>
          <w:tcPr>
            <w:tcW w:w="294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6" w:type="dxa"/>
            <w:vMerge w:val="restart"/>
            <w:tcBorders>
              <w:top w:val="nil"/>
              <w:left w:val="inset" w:color="auto" w:sz="6" w:space="0"/>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3927" w:type="dxa"/>
            <w:vMerge w:val="restart"/>
            <w:tcBorders>
              <w:top w:val="nil"/>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　</w:t>
            </w:r>
          </w:p>
        </w:tc>
        <w:tc>
          <w:tcPr>
            <w:tcW w:w="817" w:type="dxa"/>
            <w:vMerge w:val="restart"/>
            <w:tcBorders>
              <w:top w:val="nil"/>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（三）艺术考级活动结束后未按规定将发放艺术考级证书的名单报文</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化行政部门备案的；</w:t>
            </w:r>
          </w:p>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一般违法行为</w:t>
            </w:r>
          </w:p>
        </w:tc>
        <w:tc>
          <w:tcPr>
            <w:tcW w:w="451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艺术考级活动结束后不在规定时限（60日内）将发放艺术考级证书的名单报文化行政部门备案。</w:t>
            </w:r>
          </w:p>
        </w:tc>
        <w:tc>
          <w:tcPr>
            <w:tcW w:w="29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予以警告，责令改正，限期补办相关手续，处1000元罚款。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6"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392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81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较重违法行为</w:t>
            </w:r>
          </w:p>
        </w:tc>
        <w:tc>
          <w:tcPr>
            <w:tcW w:w="451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艺术考级活动结束后不按规定将发放艺术考级证书的名单报文化行政部门备案且无正当理由。</w:t>
            </w:r>
          </w:p>
        </w:tc>
        <w:tc>
          <w:tcPr>
            <w:tcW w:w="294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予以警告，责令整改，处1000元至2000元罚款。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6"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392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817"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066"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严重违法行为</w:t>
            </w:r>
          </w:p>
        </w:tc>
        <w:tc>
          <w:tcPr>
            <w:tcW w:w="451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艺术考级活动结束后不按规定将发放艺术考级证书的名单报文化行政部门备案，经文化部门查处后继续进行考级活动。</w:t>
            </w:r>
          </w:p>
        </w:tc>
        <w:tc>
          <w:tcPr>
            <w:tcW w:w="2947" w:type="dxa"/>
            <w:tcBorders>
              <w:top w:val="inset" w:color="auto" w:sz="6" w:space="0"/>
              <w:left w:val="nil"/>
              <w:bottom w:val="inset" w:color="auto" w:sz="6" w:space="0"/>
              <w:right w:val="inset" w:color="auto" w:sz="6" w:space="0"/>
            </w:tcBorders>
          </w:tcPr>
          <w:p>
            <w:pPr>
              <w:widowControl/>
              <w:spacing w:line="330" w:lineRule="atLeast"/>
              <w:rPr>
                <w:rFonts w:ascii="仿宋" w:hAnsi="仿宋" w:eastAsia="仿宋"/>
                <w:sz w:val="24"/>
                <w:szCs w:val="24"/>
              </w:rPr>
            </w:pPr>
            <w:r>
              <w:rPr>
                <w:rFonts w:hint="eastAsia" w:ascii="仿宋" w:hAnsi="仿宋" w:eastAsia="仿宋"/>
                <w:kern w:val="0"/>
                <w:sz w:val="24"/>
                <w:szCs w:val="24"/>
              </w:rPr>
              <w:t>予以警告，责令整改主，处2000元至3000元罚款。</w:t>
            </w:r>
          </w:p>
        </w:tc>
      </w:tr>
    </w:tbl>
    <w:tbl>
      <w:tblPr>
        <w:tblStyle w:val="2"/>
        <w:tblpPr w:leftFromText="180" w:rightFromText="180" w:vertAnchor="text" w:horzAnchor="page" w:tblpX="1576" w:tblpY="364"/>
        <w:tblOverlap w:val="never"/>
        <w:tblW w:w="1380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27"/>
        <w:gridCol w:w="4288"/>
        <w:gridCol w:w="1744"/>
        <w:gridCol w:w="1130"/>
        <w:gridCol w:w="3047"/>
        <w:gridCol w:w="29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tcBorders>
              <w:top w:val="inset" w:color="auto" w:sz="6" w:space="0"/>
              <w:left w:val="inset" w:color="auto" w:sz="6" w:space="0"/>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序号</w:t>
            </w:r>
          </w:p>
        </w:tc>
        <w:tc>
          <w:tcPr>
            <w:tcW w:w="4288"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行政处罚依据</w:t>
            </w:r>
          </w:p>
        </w:tc>
        <w:tc>
          <w:tcPr>
            <w:tcW w:w="1744"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项</w:t>
            </w:r>
          </w:p>
        </w:tc>
        <w:tc>
          <w:tcPr>
            <w:tcW w:w="1130"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裁量阶次</w:t>
            </w:r>
          </w:p>
        </w:tc>
        <w:tc>
          <w:tcPr>
            <w:tcW w:w="304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违法行为表现情形</w:t>
            </w:r>
          </w:p>
        </w:tc>
        <w:tc>
          <w:tcPr>
            <w:tcW w:w="2966"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restart"/>
            <w:tcBorders>
              <w:top w:val="nil"/>
              <w:left w:val="inset" w:color="auto" w:sz="6" w:space="0"/>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4288" w:type="dxa"/>
            <w:vMerge w:val="restart"/>
            <w:tcBorders>
              <w:top w:val="nil"/>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　</w:t>
            </w:r>
          </w:p>
        </w:tc>
        <w:tc>
          <w:tcPr>
            <w:tcW w:w="1744" w:type="dxa"/>
            <w:vMerge w:val="restart"/>
            <w:tcBorders>
              <w:top w:val="nil"/>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 xml:space="preserve">  </w:t>
            </w:r>
          </w:p>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（四）艺术考级考官及考级主要负责人、办公地点有变动未按规定向审批机关备案的。</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一般违法行为</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艺术考级考官及考级工作主要负责人、办公地点有变动，不按规定时限（20日内）向申批机关备案的。</w:t>
            </w:r>
          </w:p>
        </w:tc>
        <w:tc>
          <w:tcPr>
            <w:tcW w:w="2966"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予以警告，责令整改，限期</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补办相关手续，处1000元</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4288"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744"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较重违法行为</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艺术考级考官及考级工作主要负责人、办公地点有变动，不按规定到申批机关备案的。</w:t>
            </w:r>
          </w:p>
        </w:tc>
        <w:tc>
          <w:tcPr>
            <w:tcW w:w="2966" w:type="dxa"/>
            <w:tcBorders>
              <w:top w:val="inset" w:color="auto" w:sz="6" w:space="0"/>
              <w:left w:val="nil"/>
              <w:bottom w:val="inset" w:color="auto" w:sz="6" w:space="0"/>
              <w:right w:val="inset" w:color="auto" w:sz="6" w:space="0"/>
            </w:tcBorders>
          </w:tcPr>
          <w:p>
            <w:pPr>
              <w:widowControl/>
              <w:spacing w:line="330" w:lineRule="atLeast"/>
              <w:jc w:val="both"/>
              <w:rPr>
                <w:rFonts w:ascii="仿宋" w:hAnsi="仿宋" w:eastAsia="仿宋"/>
                <w:sz w:val="24"/>
                <w:szCs w:val="24"/>
              </w:rPr>
            </w:pPr>
            <w:r>
              <w:rPr>
                <w:rFonts w:hint="eastAsia" w:ascii="仿宋" w:hAnsi="仿宋" w:eastAsia="仿宋"/>
                <w:kern w:val="0"/>
                <w:sz w:val="24"/>
                <w:szCs w:val="24"/>
              </w:rPr>
              <w:t>予以警告，责,</w:t>
            </w:r>
          </w:p>
          <w:p>
            <w:pPr>
              <w:widowControl/>
              <w:spacing w:line="330" w:lineRule="atLeast"/>
              <w:jc w:val="both"/>
              <w:rPr>
                <w:rFonts w:ascii="仿宋" w:hAnsi="仿宋" w:eastAsia="仿宋"/>
                <w:sz w:val="24"/>
                <w:szCs w:val="24"/>
              </w:rPr>
            </w:pPr>
            <w:r>
              <w:rPr>
                <w:rFonts w:hint="eastAsia" w:ascii="仿宋" w:hAnsi="仿宋" w:eastAsia="仿宋"/>
                <w:kern w:val="0"/>
                <w:sz w:val="24"/>
                <w:szCs w:val="24"/>
              </w:rPr>
              <w:t>令改正，处1, 000元至2000</w:t>
            </w:r>
          </w:p>
          <w:p>
            <w:pPr>
              <w:widowControl/>
              <w:spacing w:line="330" w:lineRule="atLeast"/>
              <w:jc w:val="both"/>
              <w:rPr>
                <w:rFonts w:ascii="仿宋" w:hAnsi="仿宋" w:eastAsia="仿宋"/>
                <w:sz w:val="24"/>
                <w:szCs w:val="24"/>
              </w:rPr>
            </w:pPr>
            <w:r>
              <w:rPr>
                <w:rFonts w:hint="eastAsia" w:ascii="仿宋" w:hAnsi="仿宋" w:eastAsia="仿宋"/>
                <w:kern w:val="0"/>
                <w:sz w:val="24"/>
                <w:szCs w:val="24"/>
              </w:rPr>
              <w:t>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99" w:hRule="atLeast"/>
        </w:trPr>
        <w:tc>
          <w:tcPr>
            <w:tcW w:w="627"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4288"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744"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严重违法行为</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艺术考级考官及考级主要负责人、办公地点有变动，不到审批机关备案，经文化行政部门查处后，不能按规定整改，且继续进行考级活动的。</w:t>
            </w:r>
          </w:p>
        </w:tc>
        <w:tc>
          <w:tcPr>
            <w:tcW w:w="2966" w:type="dxa"/>
            <w:tcBorders>
              <w:top w:val="inset" w:color="auto" w:sz="6" w:space="0"/>
              <w:left w:val="nil"/>
              <w:bottom w:val="inset" w:color="auto" w:sz="6" w:space="0"/>
              <w:right w:val="inset" w:color="auto" w:sz="6" w:space="0"/>
            </w:tcBorders>
          </w:tcPr>
          <w:p>
            <w:pPr>
              <w:widowControl/>
              <w:spacing w:line="330" w:lineRule="atLeast"/>
              <w:jc w:val="both"/>
              <w:rPr>
                <w:rFonts w:ascii="仿宋" w:hAnsi="仿宋" w:eastAsia="仿宋"/>
                <w:sz w:val="24"/>
                <w:szCs w:val="24"/>
              </w:rPr>
            </w:pPr>
            <w:r>
              <w:rPr>
                <w:rFonts w:hint="eastAsia" w:ascii="仿宋" w:hAnsi="仿宋" w:eastAsia="仿宋"/>
                <w:kern w:val="0"/>
                <w:sz w:val="24"/>
                <w:szCs w:val="24"/>
              </w:rPr>
              <w:t>予经警告，责</w:t>
            </w:r>
          </w:p>
          <w:p>
            <w:pPr>
              <w:widowControl/>
              <w:spacing w:line="330" w:lineRule="atLeast"/>
              <w:jc w:val="both"/>
              <w:rPr>
                <w:rFonts w:ascii="仿宋" w:hAnsi="仿宋" w:eastAsia="仿宋"/>
                <w:sz w:val="24"/>
                <w:szCs w:val="24"/>
              </w:rPr>
            </w:pPr>
            <w:r>
              <w:rPr>
                <w:rFonts w:hint="eastAsia" w:ascii="仿宋" w:hAnsi="仿宋" w:eastAsia="仿宋"/>
                <w:kern w:val="0"/>
                <w:sz w:val="24"/>
                <w:szCs w:val="24"/>
              </w:rPr>
              <w:t>令改正，处2000元至3000</w:t>
            </w:r>
          </w:p>
          <w:p>
            <w:pPr>
              <w:widowControl/>
              <w:spacing w:line="330" w:lineRule="atLeast"/>
              <w:jc w:val="both"/>
              <w:rPr>
                <w:rFonts w:ascii="仿宋" w:hAnsi="仿宋" w:eastAsia="仿宋"/>
                <w:sz w:val="24"/>
                <w:szCs w:val="24"/>
              </w:rPr>
            </w:pPr>
            <w:r>
              <w:rPr>
                <w:rFonts w:hint="eastAsia" w:ascii="仿宋" w:hAnsi="仿宋" w:eastAsia="仿宋"/>
                <w:kern w:val="0"/>
                <w:sz w:val="24"/>
                <w:szCs w:val="24"/>
              </w:rPr>
              <w:t>元罚款。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tcBorders>
              <w:top w:val="inset" w:color="auto" w:sz="6" w:space="0"/>
              <w:left w:val="inset" w:color="auto" w:sz="6" w:space="0"/>
              <w:bottom w:val="inset" w:color="auto" w:sz="6" w:space="0"/>
              <w:right w:val="inset" w:color="auto" w:sz="6" w:space="0"/>
            </w:tcBorders>
          </w:tcPr>
          <w:p>
            <w:pPr>
              <w:widowControl/>
              <w:spacing w:line="330" w:lineRule="atLeast"/>
              <w:jc w:val="center"/>
              <w:rPr>
                <w:rFonts w:hint="eastAsia" w:ascii="仿宋" w:hAnsi="仿宋" w:eastAsia="仿宋"/>
                <w:kern w:val="0"/>
                <w:sz w:val="24"/>
                <w:szCs w:val="24"/>
              </w:rPr>
            </w:pPr>
          </w:p>
          <w:p>
            <w:pPr>
              <w:widowControl/>
              <w:spacing w:line="330" w:lineRule="atLeast"/>
              <w:jc w:val="center"/>
              <w:rPr>
                <w:rFonts w:ascii="仿宋" w:hAnsi="仿宋" w:eastAsia="仿宋"/>
                <w:sz w:val="24"/>
                <w:szCs w:val="24"/>
              </w:rPr>
            </w:pPr>
            <w:r>
              <w:rPr>
                <w:rFonts w:hint="eastAsia" w:ascii="仿宋" w:hAnsi="仿宋" w:eastAsia="仿宋"/>
                <w:kern w:val="0"/>
                <w:sz w:val="24"/>
                <w:szCs w:val="24"/>
              </w:rPr>
              <w:t>序号</w:t>
            </w:r>
          </w:p>
        </w:tc>
        <w:tc>
          <w:tcPr>
            <w:tcW w:w="4288" w:type="dxa"/>
            <w:tcBorders>
              <w:top w:val="inset" w:color="auto" w:sz="6" w:space="0"/>
              <w:left w:val="nil"/>
              <w:bottom w:val="inset" w:color="auto" w:sz="6" w:space="0"/>
              <w:right w:val="inset" w:color="auto" w:sz="6" w:space="0"/>
            </w:tcBorders>
          </w:tcPr>
          <w:p>
            <w:pPr>
              <w:widowControl/>
              <w:spacing w:line="330" w:lineRule="atLeast"/>
              <w:jc w:val="center"/>
              <w:rPr>
                <w:rFonts w:hint="eastAsia" w:ascii="仿宋" w:hAnsi="仿宋" w:eastAsia="仿宋"/>
                <w:kern w:val="0"/>
                <w:sz w:val="24"/>
                <w:szCs w:val="24"/>
              </w:rPr>
            </w:pPr>
          </w:p>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行政处罚依据</w:t>
            </w:r>
          </w:p>
        </w:tc>
        <w:tc>
          <w:tcPr>
            <w:tcW w:w="1744" w:type="dxa"/>
            <w:tcBorders>
              <w:top w:val="inset" w:color="auto" w:sz="6" w:space="0"/>
              <w:left w:val="nil"/>
              <w:bottom w:val="inset" w:color="auto" w:sz="6" w:space="0"/>
              <w:right w:val="inset" w:color="auto" w:sz="6" w:space="0"/>
            </w:tcBorders>
          </w:tcPr>
          <w:p>
            <w:pPr>
              <w:widowControl/>
              <w:spacing w:line="330" w:lineRule="atLeast"/>
              <w:jc w:val="center"/>
              <w:rPr>
                <w:rFonts w:hint="eastAsia" w:ascii="仿宋" w:hAnsi="仿宋" w:eastAsia="仿宋"/>
                <w:kern w:val="0"/>
                <w:sz w:val="24"/>
                <w:szCs w:val="24"/>
              </w:rPr>
            </w:pPr>
          </w:p>
          <w:p>
            <w:pPr>
              <w:widowControl/>
              <w:spacing w:line="330" w:lineRule="atLeast"/>
              <w:jc w:val="center"/>
              <w:rPr>
                <w:rFonts w:ascii="仿宋" w:hAnsi="仿宋" w:eastAsia="仿宋"/>
                <w:sz w:val="24"/>
                <w:szCs w:val="24"/>
              </w:rPr>
            </w:pPr>
            <w:r>
              <w:rPr>
                <w:rFonts w:hint="eastAsia" w:ascii="仿宋" w:hAnsi="仿宋" w:eastAsia="仿宋"/>
                <w:kern w:val="0"/>
                <w:sz w:val="24"/>
                <w:szCs w:val="24"/>
              </w:rPr>
              <w:t>项</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hint="eastAsia" w:ascii="仿宋" w:hAnsi="仿宋" w:eastAsia="仿宋"/>
                <w:kern w:val="0"/>
                <w:sz w:val="24"/>
                <w:szCs w:val="24"/>
              </w:rPr>
            </w:pPr>
          </w:p>
          <w:p>
            <w:pPr>
              <w:widowControl/>
              <w:spacing w:line="330" w:lineRule="atLeast"/>
              <w:jc w:val="center"/>
              <w:rPr>
                <w:rFonts w:ascii="仿宋" w:hAnsi="仿宋" w:eastAsia="仿宋"/>
                <w:sz w:val="24"/>
                <w:szCs w:val="24"/>
              </w:rPr>
            </w:pPr>
            <w:r>
              <w:rPr>
                <w:rFonts w:hint="eastAsia" w:ascii="仿宋" w:hAnsi="仿宋" w:eastAsia="仿宋"/>
                <w:kern w:val="0"/>
                <w:sz w:val="24"/>
                <w:szCs w:val="24"/>
              </w:rPr>
              <w:t>裁量阶次</w:t>
            </w:r>
          </w:p>
        </w:tc>
        <w:tc>
          <w:tcPr>
            <w:tcW w:w="3047" w:type="dxa"/>
            <w:tcBorders>
              <w:top w:val="inset" w:color="auto" w:sz="6" w:space="0"/>
              <w:left w:val="nil"/>
              <w:bottom w:val="inset" w:color="auto" w:sz="6" w:space="0"/>
              <w:right w:val="inset" w:color="auto" w:sz="6" w:space="0"/>
            </w:tcBorders>
          </w:tcPr>
          <w:p>
            <w:pPr>
              <w:widowControl/>
              <w:spacing w:line="330" w:lineRule="atLeast"/>
              <w:jc w:val="center"/>
              <w:rPr>
                <w:rFonts w:hint="eastAsia" w:ascii="仿宋" w:hAnsi="仿宋" w:eastAsia="仿宋"/>
                <w:kern w:val="0"/>
                <w:sz w:val="24"/>
                <w:szCs w:val="24"/>
              </w:rPr>
            </w:pPr>
          </w:p>
          <w:p>
            <w:pPr>
              <w:widowControl/>
              <w:spacing w:line="330" w:lineRule="atLeast"/>
              <w:jc w:val="center"/>
              <w:rPr>
                <w:rFonts w:ascii="仿宋" w:hAnsi="仿宋" w:eastAsia="仿宋"/>
                <w:sz w:val="24"/>
                <w:szCs w:val="24"/>
              </w:rPr>
            </w:pPr>
            <w:r>
              <w:rPr>
                <w:rFonts w:hint="eastAsia" w:ascii="仿宋" w:hAnsi="仿宋" w:eastAsia="仿宋"/>
                <w:kern w:val="0"/>
                <w:sz w:val="24"/>
                <w:szCs w:val="24"/>
              </w:rPr>
              <w:t>违法行为表现情形</w:t>
            </w:r>
          </w:p>
        </w:tc>
        <w:tc>
          <w:tcPr>
            <w:tcW w:w="2966" w:type="dxa"/>
            <w:tcBorders>
              <w:top w:val="inset" w:color="auto" w:sz="6" w:space="0"/>
              <w:left w:val="nil"/>
              <w:bottom w:val="inset" w:color="auto" w:sz="6" w:space="0"/>
              <w:right w:val="inset" w:color="auto" w:sz="6" w:space="0"/>
            </w:tcBorders>
          </w:tcPr>
          <w:p>
            <w:pPr>
              <w:widowControl/>
              <w:spacing w:line="330" w:lineRule="atLeast"/>
              <w:jc w:val="center"/>
              <w:rPr>
                <w:rFonts w:hint="eastAsia" w:ascii="仿宋" w:hAnsi="仿宋" w:eastAsia="仿宋"/>
                <w:kern w:val="0"/>
                <w:sz w:val="24"/>
                <w:szCs w:val="24"/>
              </w:rPr>
            </w:pPr>
          </w:p>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restart"/>
            <w:tcBorders>
              <w:top w:val="nil"/>
              <w:left w:val="inset" w:color="auto" w:sz="6" w:space="0"/>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3</w:t>
            </w:r>
          </w:p>
        </w:tc>
        <w:tc>
          <w:tcPr>
            <w:tcW w:w="4288" w:type="dxa"/>
            <w:vMerge w:val="restart"/>
            <w:tcBorders>
              <w:top w:val="nil"/>
              <w:left w:val="nil"/>
              <w:bottom w:val="inset" w:color="auto" w:sz="6" w:space="0"/>
              <w:right w:val="inset" w:color="auto" w:sz="6" w:space="0"/>
            </w:tcBorders>
            <w:vAlign w:val="center"/>
          </w:tcPr>
          <w:p>
            <w:pPr>
              <w:widowControl/>
              <w:spacing w:line="330" w:lineRule="atLeast"/>
              <w:rPr>
                <w:rFonts w:ascii="仿宋" w:hAnsi="仿宋" w:eastAsia="仿宋"/>
                <w:sz w:val="24"/>
                <w:szCs w:val="24"/>
              </w:rPr>
            </w:pPr>
            <w:r>
              <w:rPr>
                <w:rFonts w:hint="eastAsia" w:ascii="仿宋" w:hAnsi="仿宋" w:eastAsia="仿宋"/>
                <w:kern w:val="0"/>
                <w:sz w:val="24"/>
                <w:szCs w:val="24"/>
              </w:rPr>
              <w:t>《社会艺术水平考级管理办法》第三十一条：“艺术考级机构有下列行为之一的，由文化行政部门责令停止考级活动，宣布考试无效，并处以2000元以上5000元以下罚款；考生因此受到的损失由艺术考级机构赔偿：</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(一)未按核准的艺术考级专业组织艺术考级活动的；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（二）执考考官及其行为不符合第二十三条和第二十四条规定的；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（三）未按规定要求实行回避的；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（四）考级过程中徇私舞弊、弄虚作假的。”</w:t>
            </w:r>
          </w:p>
        </w:tc>
        <w:tc>
          <w:tcPr>
            <w:tcW w:w="1744" w:type="dxa"/>
            <w:tcBorders>
              <w:top w:val="inset" w:color="auto" w:sz="6" w:space="0"/>
              <w:left w:val="nil"/>
              <w:bottom w:val="inset" w:color="auto" w:sz="6" w:space="0"/>
              <w:right w:val="inset" w:color="auto" w:sz="6" w:space="0"/>
            </w:tcBorders>
            <w:vAlign w:val="center"/>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2966" w:type="dxa"/>
            <w:vMerge w:val="restart"/>
            <w:tcBorders>
              <w:top w:val="nil"/>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按本条规定</w:t>
            </w:r>
          </w:p>
          <w:p>
            <w:pPr>
              <w:widowControl/>
              <w:spacing w:line="330" w:lineRule="atLeast"/>
              <w:jc w:val="center"/>
              <w:rPr>
                <w:rFonts w:ascii="仿宋" w:hAnsi="仿宋" w:eastAsia="仿宋"/>
                <w:sz w:val="24"/>
                <w:szCs w:val="24"/>
              </w:rPr>
            </w:pPr>
            <w:r>
              <w:rPr>
                <w:rFonts w:hint="eastAsia" w:ascii="仿宋" w:hAnsi="仿宋" w:eastAsia="仿宋"/>
                <w:kern w:val="0"/>
                <w:sz w:val="24"/>
                <w:szCs w:val="24"/>
              </w:rPr>
              <w:t>执行</w:t>
            </w:r>
          </w:p>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4288"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744" w:type="dxa"/>
            <w:tcBorders>
              <w:top w:val="inset" w:color="auto" w:sz="6" w:space="0"/>
              <w:left w:val="nil"/>
              <w:bottom w:val="inset" w:color="auto" w:sz="6" w:space="0"/>
              <w:right w:val="inset" w:color="auto" w:sz="6" w:space="0"/>
            </w:tcBorders>
            <w:vAlign w:val="center"/>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2966"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4288"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744"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2966"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4288"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744"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2966"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tcBorders>
              <w:top w:val="inset" w:color="auto" w:sz="6" w:space="0"/>
              <w:left w:val="inset" w:color="auto" w:sz="6" w:space="0"/>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序号</w:t>
            </w:r>
          </w:p>
        </w:tc>
        <w:tc>
          <w:tcPr>
            <w:tcW w:w="4288"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行政处罚依据</w:t>
            </w:r>
          </w:p>
        </w:tc>
        <w:tc>
          <w:tcPr>
            <w:tcW w:w="1744"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项</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裁量阶次</w:t>
            </w:r>
          </w:p>
        </w:tc>
        <w:tc>
          <w:tcPr>
            <w:tcW w:w="3047"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违法行为表现情形</w:t>
            </w:r>
          </w:p>
        </w:tc>
        <w:tc>
          <w:tcPr>
            <w:tcW w:w="2966" w:type="dxa"/>
            <w:tcBorders>
              <w:top w:val="inset" w:color="auto" w:sz="6" w:space="0"/>
              <w:left w:val="nil"/>
              <w:bottom w:val="inset" w:color="auto" w:sz="6" w:space="0"/>
              <w:right w:val="inset" w:color="auto" w:sz="6" w:space="0"/>
            </w:tcBorders>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行政处罚标准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restart"/>
            <w:tcBorders>
              <w:top w:val="nil"/>
              <w:left w:val="inset" w:color="auto" w:sz="6" w:space="0"/>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4</w:t>
            </w:r>
          </w:p>
        </w:tc>
        <w:tc>
          <w:tcPr>
            <w:tcW w:w="4288" w:type="dxa"/>
            <w:vMerge w:val="restart"/>
            <w:tcBorders>
              <w:top w:val="nil"/>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仿宋" w:hAnsi="仿宋" w:eastAsia="仿宋"/>
                <w:kern w:val="0"/>
                <w:sz w:val="24"/>
                <w:szCs w:val="24"/>
              </w:rPr>
              <w:t>《社会艺术水平考级管理办法》第三十二条：“艺术考级有下列行为之一的，由文化行政部门责令改正，给予停止1年艺术考级活动的处罚；情节严重的，取消开办艺术考级活动的资格，收缴《社会艺术水平考级资格证书》：</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（一）委托承办单位未按规定报文化行政部门备案或者委托的承办单位不符合规定的；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（二）发放未经监制的《社会艺术水平考级证书》的；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（三）向被宣布考试无效的考生发放《社会艺术水平考级证书》的；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（四）未经批准，擅自扩大设置考场范围的；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（五）违反物价管理部门的核定的收费标准多收费的；</w:t>
            </w:r>
          </w:p>
          <w:p>
            <w:pPr>
              <w:widowControl/>
              <w:spacing w:line="330" w:lineRule="atLeast"/>
              <w:jc w:val="left"/>
              <w:rPr>
                <w:rFonts w:ascii="仿宋" w:hAnsi="仿宋" w:eastAsia="仿宋"/>
                <w:sz w:val="24"/>
                <w:szCs w:val="24"/>
              </w:rPr>
            </w:pPr>
            <w:r>
              <w:rPr>
                <w:rFonts w:hint="eastAsia" w:ascii="仿宋" w:hAnsi="仿宋" w:eastAsia="仿宋"/>
                <w:kern w:val="0"/>
                <w:sz w:val="24"/>
                <w:szCs w:val="24"/>
              </w:rPr>
              <w:t>（六）阻挠、抗拒文化行政部门工作人员监督检查的；“</w:t>
            </w:r>
          </w:p>
        </w:tc>
        <w:tc>
          <w:tcPr>
            <w:tcW w:w="1744" w:type="dxa"/>
            <w:tcBorders>
              <w:top w:val="inset" w:color="auto" w:sz="6" w:space="0"/>
              <w:left w:val="nil"/>
              <w:bottom w:val="inset" w:color="auto" w:sz="6" w:space="0"/>
              <w:right w:val="inset" w:color="auto" w:sz="6" w:space="0"/>
            </w:tcBorders>
            <w:vAlign w:val="center"/>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2966" w:type="dxa"/>
            <w:vMerge w:val="restart"/>
            <w:tcBorders>
              <w:top w:val="nil"/>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仿宋" w:hAnsi="仿宋" w:eastAsia="仿宋"/>
                <w:kern w:val="0"/>
                <w:sz w:val="24"/>
                <w:szCs w:val="24"/>
              </w:rPr>
              <w:t>按本条规定</w:t>
            </w:r>
          </w:p>
          <w:p>
            <w:pPr>
              <w:widowControl/>
              <w:spacing w:line="330" w:lineRule="atLeast"/>
              <w:jc w:val="center"/>
              <w:rPr>
                <w:rFonts w:ascii="仿宋" w:hAnsi="仿宋" w:eastAsia="仿宋"/>
                <w:sz w:val="24"/>
                <w:szCs w:val="24"/>
              </w:rPr>
            </w:pPr>
            <w:r>
              <w:rPr>
                <w:rFonts w:hint="eastAsia" w:ascii="仿宋" w:hAnsi="仿宋" w:eastAsia="仿宋"/>
                <w:kern w:val="0"/>
                <w:sz w:val="24"/>
                <w:szCs w:val="24"/>
              </w:rPr>
              <w:t>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4288"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744" w:type="dxa"/>
            <w:tcBorders>
              <w:top w:val="inset" w:color="auto" w:sz="6" w:space="0"/>
              <w:left w:val="nil"/>
              <w:bottom w:val="inset" w:color="auto" w:sz="6" w:space="0"/>
              <w:right w:val="inset" w:color="auto" w:sz="6" w:space="0"/>
            </w:tcBorders>
            <w:vAlign w:val="center"/>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2966"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4288"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744"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center"/>
              <w:rPr>
                <w:rFonts w:ascii="仿宋" w:hAnsi="仿宋" w:eastAsia="仿宋"/>
                <w:sz w:val="24"/>
                <w:szCs w:val="24"/>
              </w:rPr>
            </w:pPr>
            <w:r>
              <w:rPr>
                <w:rFonts w:hint="eastAsia" w:ascii="宋体" w:hAnsi="宋体" w:eastAsia="仿宋"/>
                <w:kern w:val="0"/>
                <w:sz w:val="24"/>
                <w:szCs w:val="24"/>
              </w:rPr>
              <w:t> </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2966"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27" w:type="dxa"/>
            <w:vMerge w:val="continue"/>
            <w:tcBorders>
              <w:top w:val="nil"/>
              <w:left w:val="inset" w:color="auto" w:sz="6" w:space="0"/>
              <w:bottom w:val="inset" w:color="auto" w:sz="6" w:space="0"/>
              <w:right w:val="inset" w:color="auto" w:sz="6" w:space="0"/>
            </w:tcBorders>
            <w:vAlign w:val="center"/>
          </w:tcPr>
          <w:p>
            <w:pPr>
              <w:widowControl/>
              <w:jc w:val="left"/>
              <w:rPr>
                <w:rFonts w:ascii="仿宋" w:hAnsi="仿宋" w:eastAsia="仿宋"/>
                <w:sz w:val="24"/>
                <w:szCs w:val="24"/>
              </w:rPr>
            </w:pPr>
          </w:p>
        </w:tc>
        <w:tc>
          <w:tcPr>
            <w:tcW w:w="4288"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c>
          <w:tcPr>
            <w:tcW w:w="1744"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1130" w:type="dxa"/>
            <w:tcBorders>
              <w:top w:val="inset" w:color="auto" w:sz="6" w:space="0"/>
              <w:left w:val="nil"/>
              <w:bottom w:val="inset" w:color="auto" w:sz="6" w:space="0"/>
              <w:right w:val="inset" w:color="auto" w:sz="6" w:space="0"/>
            </w:tcBorders>
            <w:vAlign w:val="center"/>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3047" w:type="dxa"/>
            <w:tcBorders>
              <w:top w:val="inset" w:color="auto" w:sz="6" w:space="0"/>
              <w:left w:val="nil"/>
              <w:bottom w:val="inset" w:color="auto" w:sz="6" w:space="0"/>
              <w:right w:val="inset" w:color="auto" w:sz="6" w:space="0"/>
            </w:tcBorders>
          </w:tcPr>
          <w:p>
            <w:pPr>
              <w:widowControl/>
              <w:spacing w:line="330" w:lineRule="atLeast"/>
              <w:jc w:val="left"/>
              <w:rPr>
                <w:rFonts w:ascii="仿宋" w:hAnsi="仿宋" w:eastAsia="仿宋"/>
                <w:sz w:val="24"/>
                <w:szCs w:val="24"/>
              </w:rPr>
            </w:pPr>
            <w:r>
              <w:rPr>
                <w:rFonts w:hint="eastAsia" w:ascii="宋体" w:hAnsi="宋体" w:eastAsia="仿宋"/>
                <w:kern w:val="0"/>
                <w:sz w:val="24"/>
                <w:szCs w:val="24"/>
              </w:rPr>
              <w:t> </w:t>
            </w:r>
          </w:p>
        </w:tc>
        <w:tc>
          <w:tcPr>
            <w:tcW w:w="2966" w:type="dxa"/>
            <w:vMerge w:val="continue"/>
            <w:tcBorders>
              <w:top w:val="nil"/>
              <w:left w:val="nil"/>
              <w:bottom w:val="inset" w:color="auto" w:sz="6" w:space="0"/>
              <w:right w:val="inset" w:color="auto" w:sz="6" w:space="0"/>
            </w:tcBorders>
            <w:vAlign w:val="center"/>
          </w:tcPr>
          <w:p>
            <w:pPr>
              <w:widowControl/>
              <w:jc w:val="left"/>
              <w:rPr>
                <w:rFonts w:ascii="仿宋" w:hAnsi="仿宋" w:eastAsia="仿宋"/>
                <w:sz w:val="24"/>
                <w:szCs w:val="24"/>
              </w:rPr>
            </w:pPr>
          </w:p>
        </w:tc>
      </w:tr>
    </w:tbl>
    <w:p>
      <w:pPr>
        <w:widowControl/>
        <w:spacing w:line="450" w:lineRule="atLeast"/>
        <w:jc w:val="left"/>
        <w:rPr>
          <w:rFonts w:hint="eastAsia" w:ascii="仿宋" w:hAnsi="仿宋" w:eastAsia="仿宋"/>
          <w:color w:val="000000"/>
          <w:kern w:val="0"/>
          <w:sz w:val="24"/>
          <w:szCs w:val="24"/>
        </w:rPr>
      </w:pPr>
    </w:p>
    <w:p>
      <w:pPr>
        <w:widowControl/>
        <w:spacing w:line="450" w:lineRule="atLeast"/>
        <w:jc w:val="left"/>
        <w:rPr>
          <w:rFonts w:hint="eastAsia" w:ascii="仿宋" w:hAnsi="仿宋" w:eastAsia="仿宋"/>
          <w:color w:val="000000"/>
          <w:kern w:val="0"/>
          <w:sz w:val="24"/>
          <w:szCs w:val="24"/>
        </w:rPr>
      </w:pPr>
    </w:p>
    <w:p>
      <w:pPr>
        <w:widowControl/>
        <w:spacing w:line="450" w:lineRule="atLeast"/>
        <w:jc w:val="left"/>
        <w:rPr>
          <w:rFonts w:hint="eastAsia" w:ascii="仿宋" w:hAnsi="仿宋" w:eastAsia="仿宋"/>
          <w:color w:val="000000"/>
          <w:kern w:val="0"/>
          <w:sz w:val="24"/>
          <w:szCs w:val="24"/>
        </w:rPr>
      </w:pPr>
    </w:p>
    <w:p>
      <w:pPr>
        <w:widowControl/>
        <w:spacing w:line="450" w:lineRule="atLeast"/>
        <w:jc w:val="left"/>
        <w:rPr>
          <w:rFonts w:ascii="仿宋" w:hAnsi="仿宋" w:eastAsia="仿宋"/>
          <w:sz w:val="24"/>
          <w:szCs w:val="24"/>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0AA9"/>
    <w:rsid w:val="000638A4"/>
    <w:rsid w:val="005567EA"/>
    <w:rsid w:val="00697AE2"/>
    <w:rsid w:val="008B5310"/>
    <w:rsid w:val="008F0698"/>
    <w:rsid w:val="00B021E7"/>
    <w:rsid w:val="00BC0BBB"/>
    <w:rsid w:val="00D10E08"/>
    <w:rsid w:val="00D96A04"/>
    <w:rsid w:val="00DA497C"/>
    <w:rsid w:val="00DC1B21"/>
    <w:rsid w:val="00ED0AA9"/>
    <w:rsid w:val="00F943AE"/>
    <w:rsid w:val="036E3522"/>
    <w:rsid w:val="11FA47F4"/>
    <w:rsid w:val="3BE5299B"/>
    <w:rsid w:val="46B43B35"/>
    <w:rsid w:val="4FA52995"/>
    <w:rsid w:val="57C92470"/>
    <w:rsid w:val="66732AFE"/>
    <w:rsid w:val="7AD01B04"/>
    <w:rsid w:val="7E121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390</Words>
  <Characters>2228</Characters>
  <Lines>18</Lines>
  <Paragraphs>5</Paragraphs>
  <TotalTime>3</TotalTime>
  <ScaleCrop>false</ScaleCrop>
  <LinksUpToDate>false</LinksUpToDate>
  <CharactersWithSpaces>2613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2020-12-10T13:04:00Z</dcterms:created>
  <dc:creator>lenovo</dc:creator>
  <cp:lastModifiedBy>lenovo</cp:lastModifiedBy>
  <dcterms:modified xsi:type="dcterms:W3CDTF">2020-12-13T12:46:52Z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