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小标宋_GBK" w:eastAsia="方正小标宋_GBK"/>
          <w:color w:val="000000"/>
          <w:sz w:val="44"/>
          <w:szCs w:val="44"/>
          <w:lang w:val="en-US" w:eastAsia="zh-CN"/>
        </w:rPr>
      </w:pPr>
      <w:r>
        <w:rPr>
          <w:rFonts w:hint="eastAsia" w:ascii="方正小标宋_GBK" w:eastAsia="方正小标宋_GBK"/>
          <w:color w:val="000000"/>
          <w:sz w:val="44"/>
          <w:szCs w:val="44"/>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方正小标宋_GBK" w:eastAsia="方正小标宋_GBK"/>
          <w:color w:val="000000"/>
          <w:sz w:val="44"/>
          <w:szCs w:val="44"/>
        </w:rPr>
      </w:pPr>
      <w:r>
        <w:rPr>
          <w:rFonts w:ascii="方正小标宋_GBK" w:eastAsia="方正小标宋_GBK"/>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187960</wp:posOffset>
                </wp:positionV>
                <wp:extent cx="6001385" cy="1475740"/>
                <wp:effectExtent l="0" t="0" r="0" b="0"/>
                <wp:wrapNone/>
                <wp:docPr id="1" name="Text Box 2"/>
                <wp:cNvGraphicFramePr/>
                <a:graphic xmlns:a="http://schemas.openxmlformats.org/drawingml/2006/main">
                  <a:graphicData uri="http://schemas.microsoft.com/office/word/2010/wordprocessingShape">
                    <wps:wsp>
                      <wps:cNvSpPr txBox="1"/>
                      <wps:spPr>
                        <a:xfrm>
                          <a:off x="0" y="0"/>
                          <a:ext cx="6001385" cy="1475740"/>
                        </a:xfrm>
                        <a:prstGeom prst="rect">
                          <a:avLst/>
                        </a:prstGeom>
                        <a:noFill/>
                        <a:ln>
                          <a:noFill/>
                        </a:ln>
                      </wps:spPr>
                      <wps:txbx>
                        <w:txbxContent>
                          <w:p>
                            <w:pPr>
                              <w:jc w:val="center"/>
                              <w:rPr>
                                <w:rFonts w:ascii="方正小标宋简体" w:hAnsi="方正小标宋简体" w:eastAsia="方正小标宋简体" w:cs="方正小标宋简体"/>
                                <w:color w:val="FF0000"/>
                                <w:spacing w:val="85"/>
                                <w:w w:val="43"/>
                                <w:kern w:val="3"/>
                                <w:sz w:val="150"/>
                                <w:szCs w:val="150"/>
                              </w:rPr>
                            </w:pPr>
                            <w:r>
                              <w:rPr>
                                <w:rFonts w:hint="eastAsia" w:ascii="方正小标宋简体" w:hAnsi="方正小标宋简体" w:eastAsia="方正小标宋简体" w:cs="方正小标宋简体"/>
                                <w:color w:val="FF0000"/>
                                <w:spacing w:val="96"/>
                                <w:w w:val="43"/>
                                <w:kern w:val="3"/>
                                <w:sz w:val="150"/>
                                <w:szCs w:val="150"/>
                              </w:rPr>
                              <w:t>舞钢市</w:t>
                            </w:r>
                            <w:r>
                              <w:rPr>
                                <w:rFonts w:hint="eastAsia" w:ascii="方正小标宋简体" w:hAnsi="方正小标宋简体" w:eastAsia="方正小标宋简体" w:cs="方正小标宋简体"/>
                                <w:color w:val="FF0000"/>
                                <w:spacing w:val="96"/>
                                <w:w w:val="43"/>
                                <w:kern w:val="3"/>
                                <w:sz w:val="150"/>
                                <w:szCs w:val="150"/>
                                <w:lang w:eastAsia="zh-CN"/>
                              </w:rPr>
                              <w:t>市场</w:t>
                            </w:r>
                            <w:r>
                              <w:rPr>
                                <w:rFonts w:hint="eastAsia" w:ascii="方正小标宋简体" w:hAnsi="方正小标宋简体" w:eastAsia="方正小标宋简体" w:cs="方正小标宋简体"/>
                                <w:color w:val="FF0000"/>
                                <w:spacing w:val="96"/>
                                <w:w w:val="43"/>
                                <w:kern w:val="3"/>
                                <w:sz w:val="150"/>
                                <w:szCs w:val="150"/>
                              </w:rPr>
                              <w:t>监督管理局文件</w:t>
                            </w:r>
                          </w:p>
                        </w:txbxContent>
                      </wps:txbx>
                      <wps:bodyPr upright="1"/>
                    </wps:wsp>
                  </a:graphicData>
                </a:graphic>
              </wp:anchor>
            </w:drawing>
          </mc:Choice>
          <mc:Fallback>
            <w:pict>
              <v:shape id="Text Box 2" o:spid="_x0000_s1026" o:spt="202" type="#_x0000_t202" style="position:absolute;left:0pt;margin-left:-11.3pt;margin-top:14.8pt;height:116.2pt;width:472.55pt;z-index:251659264;mso-width-relative:page;mso-height-relative:page;" filled="f" stroked="f" coordsize="21600,21600" o:gfxdata="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wxTEXXAAAACgEAAA8AAAAAAAAAAQAg&#10;AAAAIgAAAGRycy9kb3ducmV2LnhtbFBLAQIUABQAAAAIAIdO4kAcVTXlnQEAAE4DAAAOAAAAAAAA&#10;AAEAIAAAACYBAABkcnMvZTJvRG9jLnhtbFBLBQYAAAAABgAGAFkBAAA1BQAAAAA=&#10;">
                <v:fill on="f" focussize="0,0"/>
                <v:stroke on="f"/>
                <v:imagedata o:title=""/>
                <o:lock v:ext="edit" aspectratio="f"/>
                <v:textbox>
                  <w:txbxContent>
                    <w:p>
                      <w:pPr>
                        <w:jc w:val="center"/>
                        <w:rPr>
                          <w:rFonts w:ascii="方正小标宋简体" w:hAnsi="方正小标宋简体" w:eastAsia="方正小标宋简体" w:cs="方正小标宋简体"/>
                          <w:color w:val="FF0000"/>
                          <w:spacing w:val="85"/>
                          <w:w w:val="43"/>
                          <w:kern w:val="3"/>
                          <w:sz w:val="150"/>
                          <w:szCs w:val="150"/>
                        </w:rPr>
                      </w:pPr>
                      <w:r>
                        <w:rPr>
                          <w:rFonts w:hint="eastAsia" w:ascii="方正小标宋简体" w:hAnsi="方正小标宋简体" w:eastAsia="方正小标宋简体" w:cs="方正小标宋简体"/>
                          <w:color w:val="FF0000"/>
                          <w:spacing w:val="96"/>
                          <w:w w:val="43"/>
                          <w:kern w:val="3"/>
                          <w:sz w:val="150"/>
                          <w:szCs w:val="150"/>
                        </w:rPr>
                        <w:t>舞钢市</w:t>
                      </w:r>
                      <w:r>
                        <w:rPr>
                          <w:rFonts w:hint="eastAsia" w:ascii="方正小标宋简体" w:hAnsi="方正小标宋简体" w:eastAsia="方正小标宋简体" w:cs="方正小标宋简体"/>
                          <w:color w:val="FF0000"/>
                          <w:spacing w:val="96"/>
                          <w:w w:val="43"/>
                          <w:kern w:val="3"/>
                          <w:sz w:val="150"/>
                          <w:szCs w:val="150"/>
                          <w:lang w:eastAsia="zh-CN"/>
                        </w:rPr>
                        <w:t>市场</w:t>
                      </w:r>
                      <w:r>
                        <w:rPr>
                          <w:rFonts w:hint="eastAsia" w:ascii="方正小标宋简体" w:hAnsi="方正小标宋简体" w:eastAsia="方正小标宋简体" w:cs="方正小标宋简体"/>
                          <w:color w:val="FF0000"/>
                          <w:spacing w:val="96"/>
                          <w:w w:val="43"/>
                          <w:kern w:val="3"/>
                          <w:sz w:val="150"/>
                          <w:szCs w:val="150"/>
                        </w:rPr>
                        <w:t>监督管理局文件</w:t>
                      </w:r>
                    </w:p>
                  </w:txbxContent>
                </v:textbox>
              </v:shape>
            </w:pict>
          </mc:Fallback>
        </mc:AlternateContent>
      </w:r>
    </w:p>
    <w:p>
      <w:pPr>
        <w:spacing w:line="660" w:lineRule="exact"/>
        <w:jc w:val="center"/>
        <w:rPr>
          <w:rFonts w:ascii="方正小标宋_GBK" w:eastAsia="方正小标宋_GBK"/>
          <w:color w:val="000000"/>
          <w:sz w:val="44"/>
          <w:szCs w:val="44"/>
        </w:rPr>
      </w:pPr>
    </w:p>
    <w:p>
      <w:pPr>
        <w:spacing w:line="660" w:lineRule="exact"/>
        <w:jc w:val="center"/>
        <w:rPr>
          <w:rFonts w:ascii="方正小标宋_GBK" w:eastAsia="方正小标宋_GBK"/>
          <w:color w:val="000000"/>
          <w:sz w:val="44"/>
          <w:szCs w:val="44"/>
        </w:rPr>
      </w:pPr>
    </w:p>
    <w:p>
      <w:pPr>
        <w:spacing w:line="660" w:lineRule="exact"/>
        <w:jc w:val="center"/>
        <w:rPr>
          <w:rFonts w:ascii="方正小标宋_GBK" w:eastAsia="方正小标宋_GBK"/>
          <w:color w:val="000000"/>
          <w:sz w:val="44"/>
          <w:szCs w:val="44"/>
        </w:rPr>
      </w:pPr>
    </w:p>
    <w:p>
      <w:pPr>
        <w:jc w:val="both"/>
        <w:rPr>
          <w:rFonts w:hint="eastAsia" w:ascii="仿宋" w:hAnsi="仿宋" w:eastAsia="仿宋"/>
          <w:color w:val="00000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rPr>
      </w:pPr>
    </w:p>
    <w:p>
      <w:pPr>
        <w:jc w:val="center"/>
        <w:rPr>
          <w:rFonts w:ascii="仿宋" w:hAnsi="仿宋" w:eastAsia="仿宋"/>
          <w:color w:val="000000"/>
        </w:rPr>
      </w:pPr>
      <w:r>
        <w:rPr>
          <w:rFonts w:hint="eastAsia" w:ascii="仿宋" w:hAnsi="仿宋" w:eastAsia="仿宋"/>
          <w:color w:val="000000"/>
          <w:lang w:val="en-US" w:eastAsia="zh-CN"/>
        </w:rPr>
        <w:t xml:space="preserve">  </w:t>
      </w:r>
      <w:r>
        <w:rPr>
          <w:rFonts w:hint="eastAsia" w:ascii="仿宋" w:hAnsi="仿宋" w:eastAsia="仿宋"/>
          <w:color w:val="000000"/>
        </w:rPr>
        <w:t>舞</w:t>
      </w:r>
      <w:r>
        <w:rPr>
          <w:rFonts w:hint="eastAsia" w:ascii="仿宋" w:hAnsi="仿宋" w:eastAsia="仿宋"/>
          <w:color w:val="000000"/>
          <w:lang w:eastAsia="zh-CN"/>
        </w:rPr>
        <w:t>市</w:t>
      </w:r>
      <w:r>
        <w:rPr>
          <w:rFonts w:hint="eastAsia" w:ascii="仿宋" w:hAnsi="仿宋" w:eastAsia="仿宋"/>
          <w:color w:val="000000"/>
        </w:rPr>
        <w:t>监</w:t>
      </w:r>
      <w:r>
        <w:rPr>
          <w:rFonts w:hint="eastAsia" w:ascii="仿宋" w:hAnsi="仿宋" w:eastAsia="仿宋"/>
          <w:color w:val="000000"/>
          <w:lang w:eastAsia="zh-CN"/>
        </w:rPr>
        <w:t>〔</w:t>
      </w:r>
      <w:r>
        <w:rPr>
          <w:rFonts w:hint="eastAsia" w:ascii="仿宋" w:hAnsi="仿宋" w:eastAsia="仿宋"/>
          <w:color w:val="000000"/>
          <w:lang w:val="en-US" w:eastAsia="zh-CN"/>
        </w:rPr>
        <w:t>2021</w:t>
      </w:r>
      <w:r>
        <w:rPr>
          <w:rFonts w:hint="eastAsia" w:ascii="仿宋" w:hAnsi="仿宋" w:eastAsia="仿宋"/>
          <w:color w:val="000000"/>
          <w:lang w:eastAsia="zh-CN"/>
        </w:rPr>
        <w:t>〕</w:t>
      </w:r>
      <w:r>
        <w:rPr>
          <w:rFonts w:hint="eastAsia" w:ascii="仿宋" w:hAnsi="仿宋" w:eastAsia="仿宋"/>
          <w:color w:val="000000"/>
          <w:lang w:val="en-US" w:eastAsia="zh-CN"/>
        </w:rPr>
        <w:t>43</w:t>
      </w:r>
      <w:r>
        <w:rPr>
          <w:rFonts w:hint="eastAsia" w:ascii="仿宋" w:hAnsi="仿宋" w:eastAsia="仿宋"/>
          <w:color w:val="000000"/>
          <w:lang w:eastAsia="zh-CN"/>
        </w:rPr>
        <w:t>号</w:t>
      </w:r>
    </w:p>
    <w:p>
      <w:pPr>
        <w:spacing w:line="660" w:lineRule="exact"/>
        <w:jc w:val="center"/>
        <w:rPr>
          <w:rFonts w:ascii="方正小标宋_GBK" w:eastAsia="方正小标宋_GBK"/>
          <w:color w:val="000000"/>
          <w:sz w:val="44"/>
          <w:szCs w:val="44"/>
        </w:rPr>
      </w:pPr>
      <w:r>
        <w:rPr>
          <w:rFonts w:ascii="方正小标宋_GBK" w:eastAsia="方正小标宋_GBK"/>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72390</wp:posOffset>
                </wp:positionV>
                <wp:extent cx="5502275" cy="1905"/>
                <wp:effectExtent l="0" t="0" r="0" b="0"/>
                <wp:wrapNone/>
                <wp:docPr id="2" name="Line 3"/>
                <wp:cNvGraphicFramePr/>
                <a:graphic xmlns:a="http://schemas.openxmlformats.org/drawingml/2006/main">
                  <a:graphicData uri="http://schemas.microsoft.com/office/word/2010/wordprocessingShape">
                    <wps:wsp>
                      <wps:cNvCnPr/>
                      <wps:spPr>
                        <a:xfrm>
                          <a:off x="0" y="0"/>
                          <a:ext cx="5502275"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4.45pt;margin-top:5.7pt;height:0.15pt;width:433.25pt;z-index:251660288;mso-width-relative:page;mso-height-relative:page;" filled="f" stroked="t" coordsize="21600,21600" o:gfxdata="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qbbQNUAAAAHAQAADwAAAAAA&#10;AAABACAAAAAiAAAAZHJzL2Rvd25yZXYueG1sUEsBAhQAFAAAAAgAh07iQPcZj5DdAQAA3QMAAA4A&#10;AAAAAAAAAQAgAAAAJAEAAGRycy9lMm9Eb2MueG1sUEsFBgAAAAAGAAYAWQEAAHM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关于印发《舞钢市市场监督管理局监督抽检不合格食品核查处置工作制度》的通知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各市场监督管理所、局综合执法大队、法规股、抽检监测股：</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平顶山市市场监督管理局食品抽检监测工作会议精神，对省级、市级、县级抽检监测发现的不合格食品，及时开展核查处置工作，确保不合格食品风险控制到位、问题原因排查到位、违法违纪行为处罚到位、整改措施落实到位，消除安全隐患，保障人民群众饮食安全，经研究决定制定本制度，现将《舞钢市市场监督管理局监督抽检不合格食品核查处置工作制度》印发给你们，请严格遵照执行。</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（此页无正文）</w:t>
      </w:r>
    </w:p>
    <w:p>
      <w:pPr>
        <w:pStyle w:val="2"/>
        <w:rPr>
          <w:rFonts w:hint="eastAsia" w:ascii="仿宋_GB2312" w:hAnsi="仿宋_GB2312" w:cs="仿宋_GB2312"/>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舞钢市市场监督管理局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z w:val="32"/>
          <w:szCs w:val="32"/>
          <w:lang w:val="en-US" w:eastAsia="zh-CN"/>
        </w:rPr>
      </w:pPr>
    </w:p>
    <w:p>
      <w:pPr>
        <w:ind w:firstLine="1540" w:firstLineChars="500"/>
        <w:rPr>
          <w:rFonts w:hint="eastAsia" w:ascii="仿宋" w:hAnsi="仿宋" w:eastAsia="仿宋" w:cs="仿宋"/>
          <w:sz w:val="32"/>
          <w:szCs w:val="32"/>
          <w:lang w:val="en-US" w:eastAsia="zh-CN"/>
        </w:rPr>
      </w:pPr>
    </w:p>
    <w:p>
      <w:pPr>
        <w:ind w:firstLine="1540" w:firstLineChars="500"/>
        <w:rPr>
          <w:rFonts w:hint="eastAsia" w:ascii="仿宋" w:hAnsi="仿宋" w:eastAsia="仿宋" w:cs="仿宋"/>
          <w:sz w:val="32"/>
          <w:szCs w:val="32"/>
          <w:lang w:val="en-US" w:eastAsia="zh-CN"/>
        </w:rPr>
      </w:pPr>
    </w:p>
    <w:p>
      <w:pPr>
        <w:ind w:firstLine="1540" w:firstLineChars="500"/>
        <w:rPr>
          <w:rFonts w:hint="eastAsia" w:ascii="仿宋" w:hAnsi="仿宋" w:eastAsia="仿宋" w:cs="仿宋"/>
          <w:sz w:val="32"/>
          <w:szCs w:val="32"/>
          <w:lang w:val="en-US" w:eastAsia="zh-CN"/>
        </w:rPr>
      </w:pPr>
    </w:p>
    <w:p>
      <w:pPr>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p>
    <w:p>
      <w:pPr>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舞钢市市场监督管理局</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监督抽检不合格食品核查处置工作制度</w:t>
      </w:r>
    </w:p>
    <w:p>
      <w:pPr>
        <w:keepNext w:val="0"/>
        <w:keepLines w:val="0"/>
        <w:pageBreakBefore w:val="0"/>
        <w:widowControl w:val="0"/>
        <w:kinsoku/>
        <w:wordWrap/>
        <w:overflowPunct/>
        <w:topLinePunct w:val="0"/>
        <w:autoSpaceDE/>
        <w:autoSpaceDN/>
        <w:bidi w:val="0"/>
        <w:adjustRightInd/>
        <w:snapToGrid/>
        <w:spacing w:line="240" w:lineRule="exact"/>
        <w:ind w:firstLine="428" w:firstLineChars="100"/>
        <w:textAlignment w:val="auto"/>
        <w:rPr>
          <w:rFonts w:hint="eastAsia" w:ascii="黑体" w:hAnsi="黑体" w:eastAsia="黑体" w:cs="黑体"/>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3D3D3D"/>
          <w:spacing w:val="0"/>
          <w:sz w:val="32"/>
          <w:szCs w:val="32"/>
        </w:rPr>
      </w:pPr>
      <w:r>
        <w:rPr>
          <w:rFonts w:hint="default" w:ascii="黑体" w:hAnsi="黑体" w:eastAsia="黑体" w:cs="黑体"/>
          <w:i w:val="0"/>
          <w:iCs w:val="0"/>
          <w:caps w:val="0"/>
          <w:color w:val="auto"/>
          <w:spacing w:val="0"/>
          <w:kern w:val="0"/>
          <w:sz w:val="32"/>
          <w:szCs w:val="32"/>
          <w:shd w:val="clear" w:fill="FFFFFF"/>
          <w:lang w:val="en-US" w:eastAsia="zh-CN" w:bidi="ar"/>
        </w:rPr>
        <w:fldChar w:fldCharType="begin"/>
      </w:r>
      <w:r>
        <w:rPr>
          <w:rFonts w:hint="default" w:ascii="黑体" w:hAnsi="黑体" w:eastAsia="黑体" w:cs="黑体"/>
          <w:i w:val="0"/>
          <w:iCs w:val="0"/>
          <w:caps w:val="0"/>
          <w:color w:val="auto"/>
          <w:spacing w:val="0"/>
          <w:kern w:val="0"/>
          <w:sz w:val="32"/>
          <w:szCs w:val="32"/>
          <w:shd w:val="clear" w:fill="FFFFFF"/>
          <w:lang w:val="en-US" w:eastAsia="zh-CN" w:bidi="ar"/>
        </w:rPr>
        <w:instrText xml:space="preserve"> HYPERLINK "http://www.suyu.gov.cn/syq/tzgg/201802/0c55691633e14fb4b67cd541d690d1b4.shtml" </w:instrText>
      </w:r>
      <w:r>
        <w:rPr>
          <w:rFonts w:hint="default" w:ascii="黑体" w:hAnsi="黑体" w:eastAsia="黑体" w:cs="黑体"/>
          <w:i w:val="0"/>
          <w:iCs w:val="0"/>
          <w:caps w:val="0"/>
          <w:color w:val="auto"/>
          <w:spacing w:val="0"/>
          <w:kern w:val="0"/>
          <w:sz w:val="32"/>
          <w:szCs w:val="32"/>
          <w:shd w:val="clear" w:fill="FFFFFF"/>
          <w:lang w:val="en-US" w:eastAsia="zh-CN" w:bidi="ar"/>
        </w:rPr>
        <w:fldChar w:fldCharType="separate"/>
      </w:r>
      <w:r>
        <w:rPr>
          <w:rFonts w:hint="default" w:ascii="黑体" w:hAnsi="黑体" w:eastAsia="黑体" w:cs="黑体"/>
          <w:i w:val="0"/>
          <w:iCs w:val="0"/>
          <w:caps w:val="0"/>
          <w:color w:val="auto"/>
          <w:spacing w:val="0"/>
          <w:kern w:val="0"/>
          <w:sz w:val="32"/>
          <w:szCs w:val="32"/>
          <w:shd w:val="clear" w:fill="FFFFFF"/>
          <w:lang w:val="en-US" w:eastAsia="zh-CN" w:bidi="ar"/>
        </w:rPr>
        <w:fldChar w:fldCharType="end"/>
      </w:r>
      <w:r>
        <w:rPr>
          <w:rFonts w:hint="eastAsia" w:ascii="黑体" w:hAnsi="黑体" w:eastAsia="黑体" w:cs="黑体"/>
          <w:i w:val="0"/>
          <w:iCs w:val="0"/>
          <w:caps w:val="0"/>
          <w:color w:val="auto"/>
          <w:spacing w:val="0"/>
          <w:kern w:val="0"/>
          <w:sz w:val="32"/>
          <w:szCs w:val="32"/>
          <w:shd w:val="clear" w:fill="FFFFFF"/>
          <w:lang w:val="en-US" w:eastAsia="zh-CN" w:bidi="ar"/>
        </w:rPr>
        <w:t>第一条</w:t>
      </w:r>
      <w:r>
        <w:rPr>
          <w:rFonts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为规范食品安全监督抽检不合格食品核查处置工作，依据《中华人民共和国食品安全法》、河南省市场监督管理局《关于做好2021年</w:t>
      </w:r>
      <w:r>
        <w:rPr>
          <w:rFonts w:hint="eastAsia" w:ascii="仿宋_GB2312" w:hAnsi="仿宋_GB2312" w:eastAsia="仿宋_GB2312" w:cs="仿宋_GB2312"/>
          <w:color w:val="auto"/>
          <w:sz w:val="32"/>
          <w:szCs w:val="32"/>
          <w:lang w:val="en-US" w:eastAsia="zh-CN"/>
        </w:rPr>
        <w:t>监督抽检不合格食品核查处置工作的通知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》等规定，制定本制度。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第二条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本制度适用于食品安全抽检监测中不合格食品的核查与处置工作，包括在食品安全日常监督检查、专项整治、案件稽查、事故调查和应急处置等工作中的抽样检验，以及上级部门交办、外地相关部门通报的其他不合格食品的核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第三条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不合格食品指在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监管部门组织开展的食品安全监督抽检工作中，由承检机构依法检验并作出不合格检验结论的食品。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第四条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不合格食品核查处置是指</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监督管理部门依法对监督抽检不合格食品的生产经营者进行处理和加强后续监督管理所采取的行政措施，包括通报、监督召回、责令改正、整改复查、公告、行政处罚等。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第五条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食品安全监督抽检不合格食品核查处置工作实行分工负责制。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承担食品安全监督抽检的检验机构负责食品抽样检验，根据检验结果依法作出结论，不合格食品检验报告的寄送，配合不合格食品复检等工作。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抽检监测股</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负责各级监督抽检不合格食品核查处置工作的安排、指导、督查及信息报送工作，包括不合格食品检验报告的流转交办、</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县</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级监督抽检复检的申请、向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县</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级监督抽检不合格食品标称生产者所在地监管部门函告相关信息、各级抽检信息汇总上报及</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县</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级抽检信息公示等工作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市场监管所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及</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综合</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执法大队负责监督抽检不合格食品检验报告的送达，并按规定开展不合格食品核查处置工作并及时报送处置结果。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第六条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抽检监测股</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在收到不合格食品报告后，应在2个工作日内向相</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关市场监管所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综合</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执法大队发送《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移交单</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》《检验报告》《食品安全监督抽检抽样单》等材料</w:t>
      </w:r>
      <w:r>
        <w:rPr>
          <w:rFonts w:hint="default" w:ascii="仿宋_GB2312" w:hAnsi="仿宋_GB2312" w:eastAsia="仿宋_GB2312" w:cs="仿宋_GB2312"/>
          <w:i w:val="0"/>
          <w:iCs w:val="0"/>
          <w:caps w:val="0"/>
          <w:color w:val="3D3D3D"/>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第七条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相关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市场监管所</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综合</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执法大队在收到监督抽检不合格食品检验报告2个工作日内，将检验报告和《食品安全监督抽样检验结果通知书》送达食品生产经营者，告知其所拥有的权利及需履行的义务，并对其生产经营的涉嫌不合格食品采取相关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突出抓好食品生产环节的核查。分析监督抽检不合格食品产生的原因，几乎都发生在食品加工生产环节，帮助和督促食品生产企业查找问题原因，采取有效措施控制风险，认真落实整改方案，并依照规定进行复查验收审核，是确保核查处置工作效果和质量的保障。</w:t>
      </w:r>
    </w:p>
    <w:p>
      <w:pPr>
        <w:pStyle w:val="4"/>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突出抓好高风险品种的核查。对发现不合格样品（问题样品）中含有非食用物质、其他可能存在较高或急性健康风险的，核查处置单位必须在 24 小时启动核查工作，督促指导食品生产企业及时采取上溯下追措施，召回不合格产品，控制风险隐患</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w:t>
      </w:r>
    </w:p>
    <w:p>
      <w:pPr>
        <w:pStyle w:val="4"/>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履职尽责，确保食用农产品核查处置到位。对不合格食用农产品，各核查处置单位要及时将检验报告送达食用农产品被抽样者，督促其停止销售、下架封存不合格批次产品，启动召回工作，并督促其在销售场所显著位置张贴不合格食用农产品相关信息及召回措施。对食用农产品抽样检验结论表明可能对身体健康和生命安全造成严重危害的，要在收到不合格检验报告 24 小时内启动核查处置工作。对抽检样品检出“瘦肉精”、禁用农药和重金属含量严重超出标准限量的要及时移送公安机关调查处理。不合格食用农产品涉及种植养殖环节的，核查处置单位要及时通报其他监管部门或产地市场监管部门。对不合格食用农产品经营者，要检查其进货查验制度落实情况，核实不合格批次产品名称、数量、进货日期、以及供货者名称、地址及联系方式等；对市场开办者，要查验其市场准 入制度落实情况，查验并留存入场销售者的社会信用代码或者身份证复印件，食用农产品产地证明或者购货凭证、合格证明文件；追查生产、种植养殖源头时，调查发现涉及其他监管部门的，要及时将线索信息移送或通报其他监管部门。</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第八条</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加大处罚力度，把“最严厉的处罚”落到实处。</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“四个最严”是习近平总书记以人民为中心思想的重要内容，是加强食品安全监管的根本遵循，核查处置工作必须坚决贯彻落实，对触碰食品安全底线的行为决不手软，坚决打击， 真正体现查办一案、警示一片、形成震慑。</w:t>
      </w:r>
    </w:p>
    <w:p>
      <w:pPr>
        <w:pStyle w:val="4"/>
        <w:keepNext w:val="0"/>
        <w:keepLines w:val="0"/>
        <w:pageBreakBefore w:val="0"/>
        <w:kinsoku/>
        <w:wordWrap/>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对抽检发现的不合格食品，要及时查清情况保全证据，督促企业下架、召回， 并对召回产品作无害化处理，防止不合格食品再次流入市场。</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要严格落实“处罚到人”和“对涉及食品故意违法的要顶格处理”要求，对被吊销许可证或受到刑事处罚食品生产经营者，必须处罚到人。同时，对适用《中华人民共和国食品安全法》第 136 条免予行政处罚的食品经营者，要严格审核其全部要件，绝不能纵容其销售不合格食品，真正传递履行食品安全 主体责任的压力。</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对同一生产企业出现多批次不合格或同 一问题反复发生的，以及涉嫌故意违反生产经营食品安全标准的，监管执法部门要从严从重处罚；对一年度累计 3 次抽检不合格并受到处罚的，要严格依照食品安全法第134条规定，责令停产停业直至吊销许可证。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严格落实“行刑衔接”，对不合格样品项目涉及非法添加或在核查处置过程中发现不合格食品生产经营违法行为涉嫌犯罪的，及时移送公安机关。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第九条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市场监管所或综合执法大队</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在开展核查处置工作时应向食品生产经营者下达《责令改正通知书》，明确整改要求和时限。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市场监管所或综合执法大队</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应督促监督抽检不合格食品生产经营者在规定时限内完成整改，并提交整改报告和复查申请。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第十一条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市场监管所或综合执法大队接</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到食品生产经营者复查申请后，应及时安排2名以上监管人员依据食品生产经营者制定的整改方案，逐条进行现场验收，并形成整改验收报告。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0" w:lineRule="exact"/>
        <w:ind w:left="0"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第十二条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对检验结论有异议的，被抽样食品生产经营者可自收到不合格检验结论之日起7个工作日内，向实施监督抽检的监管部门或者上一级监管部门提出书面复检申请（国抽、省抽均向省局提出），由受理复检申请的监管部门在公布的复检机构中随机确定检验机构进行复检。不予受理的复检情形依照相关规定办理。</w:t>
      </w:r>
    </w:p>
    <w:p>
      <w:pPr>
        <w:pStyle w:val="4"/>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第十三条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样品标称的生产企业对样品真实性有异议的，应在收到不合格检验结论之日起7个工作日内，向实施监督抽检的监管部门书面提出异议审核申请（国抽、省抽均向省局提出），并提交相关证明材料，生产企业所在地监管部门应及时调取分析企业的自证材料，并向上级部门报送调查意见。对与抽样标称信息一致的同批次产品，予以暂扣封存，直至问题查清，方可决定是否解除封存。涉及外地通报函件应同时将真实性审核结果或调查意见通报抽检地来函部门。</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不合格食品的风险控制工作应在10个工作日内完成，案件查处工作应在90日内结案（复检和真实性异议时间不计算在内），并及时将行政处罚决定书等材料报送局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抽检监测股</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。未立案或立案后未给予行政处罚的，应作出特别说明一并报送局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抽检监测股</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备案。</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第十四条</w:t>
      </w:r>
      <w:r>
        <w:rPr>
          <w:rFonts w:hint="default" w:ascii="Times New Roman" w:hAnsi="Times New Roman" w:cs="Times New Roman" w:eastAsiaTheme="minorEastAsia"/>
          <w:i w:val="0"/>
          <w:iCs w:val="0"/>
          <w:caps w:val="0"/>
          <w:color w:val="3D3D3D"/>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落实信息公开，充分发挥抽检监测社会效能。</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要依法公开不合格食品的核查处置结果，加强社会监督，加大对不合格食品企业违法违规行为的威慑力度，充分发挥监督抽检工作的效力。</w:t>
      </w:r>
    </w:p>
    <w:p>
      <w:pPr>
        <w:pStyle w:val="4"/>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为确保省局信息发布工作的顺利进行，涉及市场监管总局通告的不合格食品，应在市场监管总局发布通告之日起 3个工作日内向省局食品相关监管处报送风险控制情况、10 个工作日内向省局食品安全抽检监测处报送核查处置结果。</w:t>
      </w:r>
    </w:p>
    <w:p>
      <w:pPr>
        <w:pStyle w:val="4"/>
        <w:keepNext w:val="0"/>
        <w:keepLines w:val="0"/>
        <w:pageBreakBefore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第十五条</w:t>
      </w:r>
      <w:r>
        <w:rPr>
          <w:rFonts w:hint="eastAsia" w:ascii="黑体" w:hAnsi="黑体" w:eastAsia="黑体" w:cs="黑体"/>
          <w:i w:val="0"/>
          <w:iCs w:val="0"/>
          <w:caps w:val="0"/>
          <w:color w:val="3D3D3D"/>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本制度自</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印发</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之日起施行。</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lang w:val="en-US" w:eastAsia="zh-CN"/>
        </w:rPr>
      </w:pPr>
    </w:p>
    <w:sectPr>
      <w:footerReference r:id="rId5" w:type="default"/>
      <w:pgSz w:w="11906" w:h="16838"/>
      <w:pgMar w:top="2098" w:right="1474" w:bottom="1984" w:left="1587" w:header="851" w:footer="397" w:gutter="0"/>
      <w:pgNumType w:fmt="numberInDash" w:start="1"/>
      <w:cols w:space="72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p>
                </w:txbxContent>
              </v:textbox>
            </v:shape>
          </w:pict>
        </mc:Fallback>
      </mc:AlternateContent>
    </w:r>
  </w:p>
  <w:p>
    <w:pPr>
      <w:pStyle w:val="6"/>
    </w:pPr>
  </w:p>
  <w:p>
    <w:pPr>
      <w:pStyle w:val="6"/>
    </w:pPr>
    <w:r>
      <w:br w:type="textWrapp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attachedTemplate r:id="rId1"/>
  <w:documentProtection w:enforcement="0"/>
  <w:defaultTabStop w:val="720"/>
  <w:drawingGridHorizontalSpacing w:val="157"/>
  <w:drawingGridVerticalSpacing w:val="218"/>
  <w:displayHorizontalDrawingGridEvery w:val="1"/>
  <w:displayVerticalDrawingGridEvery w:val="2"/>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67883"/>
    <w:rsid w:val="00133036"/>
    <w:rsid w:val="00221320"/>
    <w:rsid w:val="00231AE0"/>
    <w:rsid w:val="00267ABE"/>
    <w:rsid w:val="00323B43"/>
    <w:rsid w:val="003D37D8"/>
    <w:rsid w:val="003D575E"/>
    <w:rsid w:val="004358AB"/>
    <w:rsid w:val="005764CD"/>
    <w:rsid w:val="00581FD0"/>
    <w:rsid w:val="005E4131"/>
    <w:rsid w:val="006451B8"/>
    <w:rsid w:val="006D7737"/>
    <w:rsid w:val="006E62CD"/>
    <w:rsid w:val="00736A6E"/>
    <w:rsid w:val="00745EFA"/>
    <w:rsid w:val="00766ACF"/>
    <w:rsid w:val="008B0AF5"/>
    <w:rsid w:val="008B7726"/>
    <w:rsid w:val="00AB28F0"/>
    <w:rsid w:val="00B13098"/>
    <w:rsid w:val="00BB0302"/>
    <w:rsid w:val="00BC3E55"/>
    <w:rsid w:val="00BD187D"/>
    <w:rsid w:val="00C77841"/>
    <w:rsid w:val="00C94964"/>
    <w:rsid w:val="00CD5714"/>
    <w:rsid w:val="00D24211"/>
    <w:rsid w:val="00D35FBC"/>
    <w:rsid w:val="00D6491B"/>
    <w:rsid w:val="00DA7394"/>
    <w:rsid w:val="00E30B19"/>
    <w:rsid w:val="00E963FC"/>
    <w:rsid w:val="00F01F5B"/>
    <w:rsid w:val="00F9107D"/>
    <w:rsid w:val="00FF6CBE"/>
    <w:rsid w:val="01ED230F"/>
    <w:rsid w:val="025E04F9"/>
    <w:rsid w:val="027B38E7"/>
    <w:rsid w:val="038F7B8C"/>
    <w:rsid w:val="039852B9"/>
    <w:rsid w:val="04FA660E"/>
    <w:rsid w:val="05016C2E"/>
    <w:rsid w:val="059F3847"/>
    <w:rsid w:val="05D35697"/>
    <w:rsid w:val="06CD5A11"/>
    <w:rsid w:val="06FE03A4"/>
    <w:rsid w:val="06FF49CB"/>
    <w:rsid w:val="073B333D"/>
    <w:rsid w:val="074374C6"/>
    <w:rsid w:val="07CC340D"/>
    <w:rsid w:val="07F10F4E"/>
    <w:rsid w:val="080E2D2F"/>
    <w:rsid w:val="08983F61"/>
    <w:rsid w:val="08D751A4"/>
    <w:rsid w:val="08E16844"/>
    <w:rsid w:val="09C44E04"/>
    <w:rsid w:val="09E21256"/>
    <w:rsid w:val="0A6352A9"/>
    <w:rsid w:val="0B781DB0"/>
    <w:rsid w:val="0B7C44D5"/>
    <w:rsid w:val="0C18570B"/>
    <w:rsid w:val="0C975E76"/>
    <w:rsid w:val="0CDC1E69"/>
    <w:rsid w:val="0CED6A87"/>
    <w:rsid w:val="0D4B3464"/>
    <w:rsid w:val="0E477294"/>
    <w:rsid w:val="0F4D4E62"/>
    <w:rsid w:val="1164318D"/>
    <w:rsid w:val="11A95E63"/>
    <w:rsid w:val="11AE5BB8"/>
    <w:rsid w:val="122E665E"/>
    <w:rsid w:val="124A4D26"/>
    <w:rsid w:val="12616B5E"/>
    <w:rsid w:val="12E21ABC"/>
    <w:rsid w:val="134968E9"/>
    <w:rsid w:val="135113D9"/>
    <w:rsid w:val="1491633E"/>
    <w:rsid w:val="149D53C7"/>
    <w:rsid w:val="14EA11D3"/>
    <w:rsid w:val="15280756"/>
    <w:rsid w:val="15320FE7"/>
    <w:rsid w:val="15732761"/>
    <w:rsid w:val="15B41BD4"/>
    <w:rsid w:val="15FB0D66"/>
    <w:rsid w:val="17025267"/>
    <w:rsid w:val="19210940"/>
    <w:rsid w:val="199727B1"/>
    <w:rsid w:val="19C64765"/>
    <w:rsid w:val="19D754EC"/>
    <w:rsid w:val="1A43579C"/>
    <w:rsid w:val="1A4E688E"/>
    <w:rsid w:val="1A6D6681"/>
    <w:rsid w:val="1B464561"/>
    <w:rsid w:val="1BC3226F"/>
    <w:rsid w:val="1CEB279D"/>
    <w:rsid w:val="1DC24992"/>
    <w:rsid w:val="1E315D9B"/>
    <w:rsid w:val="1E48096F"/>
    <w:rsid w:val="1F3F7939"/>
    <w:rsid w:val="1F74615B"/>
    <w:rsid w:val="1F890CF5"/>
    <w:rsid w:val="200B1F7E"/>
    <w:rsid w:val="201005EA"/>
    <w:rsid w:val="201A28E4"/>
    <w:rsid w:val="205829A9"/>
    <w:rsid w:val="226A6943"/>
    <w:rsid w:val="22806ADC"/>
    <w:rsid w:val="22EA2B3A"/>
    <w:rsid w:val="23155826"/>
    <w:rsid w:val="23932AFF"/>
    <w:rsid w:val="252D0DEB"/>
    <w:rsid w:val="26DD0BAF"/>
    <w:rsid w:val="28522375"/>
    <w:rsid w:val="292A37D9"/>
    <w:rsid w:val="298C5EDF"/>
    <w:rsid w:val="2A5C0086"/>
    <w:rsid w:val="2AA74140"/>
    <w:rsid w:val="2AE14ACE"/>
    <w:rsid w:val="2B1947D8"/>
    <w:rsid w:val="2B2B4E00"/>
    <w:rsid w:val="2B531FE9"/>
    <w:rsid w:val="2BD80906"/>
    <w:rsid w:val="2C881E34"/>
    <w:rsid w:val="2DC3658F"/>
    <w:rsid w:val="2E061B73"/>
    <w:rsid w:val="2E1A59AE"/>
    <w:rsid w:val="2E2177F6"/>
    <w:rsid w:val="2E5F6F51"/>
    <w:rsid w:val="2E78393C"/>
    <w:rsid w:val="2FBF21E0"/>
    <w:rsid w:val="2FF046F2"/>
    <w:rsid w:val="30842EC3"/>
    <w:rsid w:val="3096444F"/>
    <w:rsid w:val="30B56B1B"/>
    <w:rsid w:val="326E5F9B"/>
    <w:rsid w:val="33B37B70"/>
    <w:rsid w:val="353D2205"/>
    <w:rsid w:val="358F0E3E"/>
    <w:rsid w:val="358F5733"/>
    <w:rsid w:val="374808D7"/>
    <w:rsid w:val="3781109C"/>
    <w:rsid w:val="37876D80"/>
    <w:rsid w:val="387663A0"/>
    <w:rsid w:val="387909B7"/>
    <w:rsid w:val="39006E43"/>
    <w:rsid w:val="39562374"/>
    <w:rsid w:val="39CA5EDE"/>
    <w:rsid w:val="39E61F62"/>
    <w:rsid w:val="39F75FC6"/>
    <w:rsid w:val="3AEC506A"/>
    <w:rsid w:val="3B0C03F2"/>
    <w:rsid w:val="3B1A43E4"/>
    <w:rsid w:val="3B4033C4"/>
    <w:rsid w:val="3B55382A"/>
    <w:rsid w:val="3BED1C7C"/>
    <w:rsid w:val="3C05045D"/>
    <w:rsid w:val="3C7403FE"/>
    <w:rsid w:val="3C9A4C88"/>
    <w:rsid w:val="3D0D0491"/>
    <w:rsid w:val="3DC01C88"/>
    <w:rsid w:val="3DE243F6"/>
    <w:rsid w:val="3E787696"/>
    <w:rsid w:val="3E790C72"/>
    <w:rsid w:val="3E967BA2"/>
    <w:rsid w:val="3EB549F9"/>
    <w:rsid w:val="3EE301A9"/>
    <w:rsid w:val="3F064CC3"/>
    <w:rsid w:val="3F4345CC"/>
    <w:rsid w:val="3F4B7307"/>
    <w:rsid w:val="3FE8138A"/>
    <w:rsid w:val="3FFF13A6"/>
    <w:rsid w:val="407F2904"/>
    <w:rsid w:val="41002FB0"/>
    <w:rsid w:val="412416AF"/>
    <w:rsid w:val="41755C17"/>
    <w:rsid w:val="4188026D"/>
    <w:rsid w:val="41C60B8E"/>
    <w:rsid w:val="42084097"/>
    <w:rsid w:val="420B5F53"/>
    <w:rsid w:val="42177C95"/>
    <w:rsid w:val="43AA69CD"/>
    <w:rsid w:val="43EF0906"/>
    <w:rsid w:val="449923D5"/>
    <w:rsid w:val="451359FB"/>
    <w:rsid w:val="453177F4"/>
    <w:rsid w:val="453463AB"/>
    <w:rsid w:val="4560144E"/>
    <w:rsid w:val="458F1FD6"/>
    <w:rsid w:val="46CE55A4"/>
    <w:rsid w:val="47BA16C4"/>
    <w:rsid w:val="481F5009"/>
    <w:rsid w:val="48B916D2"/>
    <w:rsid w:val="48FD0400"/>
    <w:rsid w:val="4A7C1E6E"/>
    <w:rsid w:val="4BA53777"/>
    <w:rsid w:val="4BE23B3A"/>
    <w:rsid w:val="4D1D1AE8"/>
    <w:rsid w:val="4F893ADC"/>
    <w:rsid w:val="4F930A87"/>
    <w:rsid w:val="5122152B"/>
    <w:rsid w:val="528444DE"/>
    <w:rsid w:val="53662F2F"/>
    <w:rsid w:val="54377F2E"/>
    <w:rsid w:val="544062DB"/>
    <w:rsid w:val="54953F4E"/>
    <w:rsid w:val="54A64DCF"/>
    <w:rsid w:val="550C701F"/>
    <w:rsid w:val="554F7BEB"/>
    <w:rsid w:val="55F83517"/>
    <w:rsid w:val="56092949"/>
    <w:rsid w:val="5611643E"/>
    <w:rsid w:val="57294E88"/>
    <w:rsid w:val="578A64BD"/>
    <w:rsid w:val="58295787"/>
    <w:rsid w:val="58731934"/>
    <w:rsid w:val="588912BF"/>
    <w:rsid w:val="59DA63D2"/>
    <w:rsid w:val="5A30692B"/>
    <w:rsid w:val="5A60607E"/>
    <w:rsid w:val="5BA03F8B"/>
    <w:rsid w:val="5BA24166"/>
    <w:rsid w:val="5D007795"/>
    <w:rsid w:val="5DF97864"/>
    <w:rsid w:val="5E6279E2"/>
    <w:rsid w:val="5E650D6F"/>
    <w:rsid w:val="5ED7137D"/>
    <w:rsid w:val="5F6E7F8B"/>
    <w:rsid w:val="5FA92660"/>
    <w:rsid w:val="5FAB44C6"/>
    <w:rsid w:val="601B7809"/>
    <w:rsid w:val="60451C87"/>
    <w:rsid w:val="60767883"/>
    <w:rsid w:val="608D6600"/>
    <w:rsid w:val="60FF0C24"/>
    <w:rsid w:val="61260838"/>
    <w:rsid w:val="61C06390"/>
    <w:rsid w:val="621075E3"/>
    <w:rsid w:val="63171CEC"/>
    <w:rsid w:val="632C2253"/>
    <w:rsid w:val="63421F5C"/>
    <w:rsid w:val="63D23C74"/>
    <w:rsid w:val="63FE02C1"/>
    <w:rsid w:val="6407342A"/>
    <w:rsid w:val="658C54D9"/>
    <w:rsid w:val="65A7591B"/>
    <w:rsid w:val="663C10E5"/>
    <w:rsid w:val="66B325E5"/>
    <w:rsid w:val="66FB5232"/>
    <w:rsid w:val="6707139E"/>
    <w:rsid w:val="67FB7CF2"/>
    <w:rsid w:val="680C45D8"/>
    <w:rsid w:val="69124C57"/>
    <w:rsid w:val="692903DB"/>
    <w:rsid w:val="696C01A1"/>
    <w:rsid w:val="6975360D"/>
    <w:rsid w:val="6A921002"/>
    <w:rsid w:val="6B615077"/>
    <w:rsid w:val="6BAA1592"/>
    <w:rsid w:val="6BE1073B"/>
    <w:rsid w:val="6D6B4B7E"/>
    <w:rsid w:val="6DCE2058"/>
    <w:rsid w:val="6F032882"/>
    <w:rsid w:val="6FA722EE"/>
    <w:rsid w:val="7041071C"/>
    <w:rsid w:val="70D030E8"/>
    <w:rsid w:val="716273CF"/>
    <w:rsid w:val="71B54F6C"/>
    <w:rsid w:val="72DE6507"/>
    <w:rsid w:val="73516E62"/>
    <w:rsid w:val="73D67AAC"/>
    <w:rsid w:val="747C13E0"/>
    <w:rsid w:val="749746A8"/>
    <w:rsid w:val="74D77E90"/>
    <w:rsid w:val="764312D2"/>
    <w:rsid w:val="767F7616"/>
    <w:rsid w:val="768849AD"/>
    <w:rsid w:val="76A46EFD"/>
    <w:rsid w:val="76B01F8A"/>
    <w:rsid w:val="76B277BF"/>
    <w:rsid w:val="76CA285D"/>
    <w:rsid w:val="77F25C22"/>
    <w:rsid w:val="784750F3"/>
    <w:rsid w:val="7863053F"/>
    <w:rsid w:val="78AF3A74"/>
    <w:rsid w:val="78CE7EE9"/>
    <w:rsid w:val="7A3D70C0"/>
    <w:rsid w:val="7A7B40AF"/>
    <w:rsid w:val="7BA0698E"/>
    <w:rsid w:val="7C3D43EB"/>
    <w:rsid w:val="7C874432"/>
    <w:rsid w:val="7D691540"/>
    <w:rsid w:val="7D6C19BF"/>
    <w:rsid w:val="7D746B3E"/>
    <w:rsid w:val="7DC06028"/>
    <w:rsid w:val="7DED7377"/>
    <w:rsid w:val="7E454FA7"/>
    <w:rsid w:val="7ECC0C91"/>
    <w:rsid w:val="7EF425E8"/>
    <w:rsid w:val="7F843DDB"/>
    <w:rsid w:val="7F900B89"/>
    <w:rsid w:val="7F9F55C6"/>
    <w:rsid w:val="7FFE28A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styleId="4">
    <w:name w:val="Body Text"/>
    <w:basedOn w:val="1"/>
    <w:link w:val="19"/>
    <w:qFormat/>
    <w:uiPriority w:val="0"/>
    <w:rPr>
      <w:rFonts w:ascii="仿宋_GB2312"/>
      <w:sz w:val="36"/>
    </w:rPr>
  </w:style>
  <w:style w:type="paragraph" w:styleId="5">
    <w:name w:val="Plain Text"/>
    <w:basedOn w:val="1"/>
    <w:qFormat/>
    <w:uiPriority w:val="0"/>
    <w:rPr>
      <w:rFonts w:ascii="宋体" w:hAnsi="Courier New"/>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0"/>
    <w:qFormat/>
    <w:uiPriority w:val="0"/>
    <w:pPr>
      <w:jc w:val="center"/>
    </w:pPr>
    <w:rPr>
      <w:rFonts w:ascii="黑体" w:eastAsia="黑体"/>
      <w:sz w:val="36"/>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眉 Char"/>
    <w:basedOn w:val="13"/>
    <w:link w:val="7"/>
    <w:semiHidden/>
    <w:qFormat/>
    <w:uiPriority w:val="99"/>
    <w:rPr>
      <w:rFonts w:ascii="Times New Roman" w:hAnsi="Times New Roman" w:eastAsia="仿宋_GB2312" w:cs="Times New Roman"/>
      <w:spacing w:val="-6"/>
      <w:kern w:val="2"/>
      <w:sz w:val="18"/>
      <w:szCs w:val="18"/>
      <w:lang w:bidi="he-IL"/>
    </w:rPr>
  </w:style>
  <w:style w:type="character" w:customStyle="1" w:styleId="18">
    <w:name w:val="页脚 Char"/>
    <w:basedOn w:val="13"/>
    <w:link w:val="6"/>
    <w:semiHidden/>
    <w:qFormat/>
    <w:uiPriority w:val="99"/>
    <w:rPr>
      <w:rFonts w:ascii="Times New Roman" w:hAnsi="Times New Roman" w:eastAsia="仿宋_GB2312" w:cs="Times New Roman"/>
      <w:spacing w:val="-6"/>
      <w:kern w:val="2"/>
      <w:sz w:val="18"/>
      <w:szCs w:val="18"/>
      <w:lang w:bidi="he-IL"/>
    </w:rPr>
  </w:style>
  <w:style w:type="character" w:customStyle="1" w:styleId="19">
    <w:name w:val="正文文本 Char"/>
    <w:basedOn w:val="13"/>
    <w:link w:val="4"/>
    <w:qFormat/>
    <w:uiPriority w:val="0"/>
    <w:rPr>
      <w:rFonts w:ascii="仿宋_GB2312" w:hAnsi="Times New Roman" w:eastAsia="仿宋_GB2312" w:cs="Times New Roman"/>
      <w:spacing w:val="-6"/>
      <w:kern w:val="2"/>
      <w:sz w:val="36"/>
      <w:szCs w:val="32"/>
      <w:lang w:bidi="he-IL"/>
    </w:rPr>
  </w:style>
  <w:style w:type="character" w:customStyle="1" w:styleId="20">
    <w:name w:val="正文文本 2 Char"/>
    <w:basedOn w:val="13"/>
    <w:link w:val="8"/>
    <w:qFormat/>
    <w:uiPriority w:val="0"/>
    <w:rPr>
      <w:rFonts w:ascii="黑体" w:hAnsi="Times New Roman" w:eastAsia="黑体" w:cs="Times New Roman"/>
      <w:spacing w:val="-6"/>
      <w:kern w:val="2"/>
      <w:sz w:val="36"/>
      <w:szCs w:val="32"/>
      <w:lang w:bidi="he-IL"/>
    </w:rPr>
  </w:style>
  <w:style w:type="paragraph" w:customStyle="1"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2">
    <w:name w:val="Body text|1"/>
    <w:basedOn w:val="1"/>
    <w:qFormat/>
    <w:uiPriority w:val="0"/>
    <w:pPr>
      <w:widowControl w:val="0"/>
      <w:spacing w:line="360" w:lineRule="auto"/>
      <w:ind w:firstLine="400"/>
    </w:pPr>
    <w:rPr>
      <w:rFonts w:ascii="宋体" w:hAnsi="宋体" w:eastAsia="宋体" w:cs="宋体"/>
      <w:sz w:val="30"/>
      <w:szCs w:val="30"/>
      <w:lang w:val="zh-TW" w:eastAsia="zh-TW" w:bidi="zh-TW"/>
    </w:rPr>
  </w:style>
  <w:style w:type="paragraph" w:customStyle="1" w:styleId="23">
    <w:name w:val="Other|1"/>
    <w:basedOn w:val="1"/>
    <w:qFormat/>
    <w:uiPriority w:val="0"/>
    <w:pPr>
      <w:widowControl w:val="0"/>
      <w:spacing w:line="360" w:lineRule="auto"/>
      <w:ind w:firstLine="400"/>
    </w:pPr>
    <w:rPr>
      <w:rFonts w:ascii="宋体" w:hAnsi="宋体" w:eastAsia="宋体" w:cs="宋体"/>
      <w:sz w:val="30"/>
      <w:szCs w:val="30"/>
      <w:lang w:val="zh-TW" w:eastAsia="zh-TW" w:bidi="zh-TW"/>
    </w:rPr>
  </w:style>
  <w:style w:type="paragraph" w:customStyle="1" w:styleId="24">
    <w:name w:val="Body text|2"/>
    <w:basedOn w:val="1"/>
    <w:qFormat/>
    <w:uiPriority w:val="0"/>
    <w:pPr>
      <w:widowControl w:val="0"/>
      <w:ind w:firstLine="500"/>
    </w:pPr>
    <w:rPr>
      <w:rFonts w:ascii="宋体" w:hAnsi="宋体" w:eastAsia="宋体" w:cs="宋体"/>
      <w:lang w:val="zh-TW" w:eastAsia="zh-TW" w:bidi="zh-TW"/>
    </w:rPr>
  </w:style>
  <w:style w:type="paragraph" w:customStyle="1" w:styleId="25">
    <w:name w:val="p0"/>
    <w:basedOn w:val="1"/>
    <w:qFormat/>
    <w:uiPriority w:val="0"/>
    <w:pPr>
      <w:widowControl/>
      <w:ind w:firstLine="420"/>
      <w:jc w:val="left"/>
    </w:pPr>
    <w:rPr>
      <w:kern w:val="0"/>
      <w:sz w:val="20"/>
      <w:szCs w:val="20"/>
    </w:rPr>
  </w:style>
  <w:style w:type="paragraph" w:customStyle="1" w:styleId="26">
    <w:name w:val="WPS Plain"/>
    <w:qFormat/>
    <w:uiPriority w:val="0"/>
    <w:rPr>
      <w:rFonts w:ascii="Times New Roman" w:hAnsi="Times New Roman" w:eastAsia="宋体" w:cs="Times New Roman"/>
      <w:sz w:val="21"/>
      <w:szCs w:val="22"/>
      <w:lang w:val="en-US" w:eastAsia="zh-CN" w:bidi="ar-SA"/>
    </w:rPr>
  </w:style>
  <w:style w:type="character" w:customStyle="1" w:styleId="27">
    <w:name w:val="NormalCharacter"/>
    <w:link w:val="1"/>
    <w:semiHidden/>
    <w:qFormat/>
    <w:uiPriority w:val="0"/>
    <w:rPr>
      <w:rFonts w:ascii="Times New Roman" w:hAnsi="Times New Roman" w:eastAsia="仿宋_GB2312" w:cs="Times New Roman"/>
      <w:spacing w:val="-6"/>
      <w:kern w:val="2"/>
      <w:sz w:val="32"/>
      <w:szCs w:val="32"/>
      <w:lang w:val="en-US" w:eastAsia="zh-CN" w:bidi="he-I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70;&#26085;&#24037;&#20316;\&#32418;&#22836;&#25991;&#20214;&#27169;&#26495;\&#33310;&#24066;&#30417;&#32418;&#2283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舞市监红头模板.dotx</Template>
  <Pages>1</Pages>
  <Words>133</Words>
  <Characters>141</Characters>
  <Lines>1</Lines>
  <Paragraphs>1</Paragraphs>
  <TotalTime>183</TotalTime>
  <ScaleCrop>false</ScaleCrop>
  <LinksUpToDate>false</LinksUpToDate>
  <CharactersWithSpaces>175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2019-04-25T00:20:00Z</dcterms:created>
  <dc:creator>春风送暖1425295850</dc:creator>
  <cp:lastModifiedBy>阿卓</cp:lastModifiedBy>
  <cp:lastPrinted>2021-05-06T03:49:50Z</cp:lastPrinted>
  <dcterms:modified xsi:type="dcterms:W3CDTF">2021-05-06T06:58:04Z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2ABD43E1D9B047F3958FD968292DA365</vt:lpwstr>
  </property>
  <property fmtid="{D5CDD505-2E9C-101B-9397-08002B2CF9AE}" pid="4" name="KSOSaveFontToCloudKey">
    <vt:lpwstr>500083451_cloud</vt:lpwstr>
  </property>
</Properties>
</file>