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hint="eastAsia" w:ascii="方正小标宋简体" w:hAnsi="仿宋" w:eastAsia="方正小标宋简体"/>
          <w:b/>
          <w:color w:val="000000"/>
          <w:sz w:val="32"/>
          <w:szCs w:val="32"/>
        </w:rPr>
      </w:pPr>
      <w:r>
        <w:rPr>
          <w:rFonts w:hint="eastAsia" w:ascii="方正小标宋简体" w:hAnsi="仿宋" w:eastAsia="方正小标宋简体"/>
          <w:b/>
          <w:bCs/>
          <w:color w:val="000000"/>
          <w:kern w:val="0"/>
          <w:sz w:val="32"/>
          <w:szCs w:val="32"/>
        </w:rPr>
        <w:t>《社会艺术水平考级管理办法》（文化部第31号令）行政处罚裁量标准</w:t>
      </w:r>
    </w:p>
    <w:p>
      <w:pPr>
        <w:widowControl/>
        <w:spacing w:line="450" w:lineRule="atLeast"/>
        <w:jc w:val="center"/>
        <w:rPr>
          <w:rFonts w:hint="eastAsia" w:ascii="仿宋" w:hAnsi="仿宋" w:eastAsia="仿宋"/>
          <w:color w:val="000000"/>
          <w:sz w:val="24"/>
          <w:szCs w:val="24"/>
        </w:rPr>
      </w:pPr>
      <w:r>
        <w:rPr>
          <w:rFonts w:hint="eastAsia" w:ascii="仿宋" w:hAnsi="仿宋" w:eastAsia="仿宋"/>
          <w:color w:val="000000"/>
          <w:kern w:val="0"/>
          <w:sz w:val="24"/>
          <w:szCs w:val="24"/>
        </w:rPr>
        <w:t xml:space="preserve"> </w:t>
      </w:r>
    </w:p>
    <w:tbl>
      <w:tblPr>
        <w:tblStyle w:val="2"/>
        <w:tblW w:w="13930" w:type="dxa"/>
        <w:tblInd w:w="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7"/>
        <w:gridCol w:w="3816"/>
        <w:gridCol w:w="884"/>
        <w:gridCol w:w="1066"/>
        <w:gridCol w:w="4417"/>
        <w:gridCol w:w="31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627" w:type="dxa"/>
            <w:tcBorders>
              <w:top w:val="inset" w:color="auto" w:sz="6" w:space="0"/>
              <w:left w:val="inset" w:color="auto" w:sz="6" w:space="0"/>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序号</w:t>
            </w:r>
          </w:p>
        </w:tc>
        <w:tc>
          <w:tcPr>
            <w:tcW w:w="381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884"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裁量阶次</w:t>
            </w:r>
          </w:p>
        </w:tc>
        <w:tc>
          <w:tcPr>
            <w:tcW w:w="4417"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312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restart"/>
            <w:tcBorders>
              <w:top w:val="nil"/>
              <w:left w:val="inset" w:color="auto" w:sz="6" w:space="0"/>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1</w:t>
            </w:r>
          </w:p>
        </w:tc>
        <w:tc>
          <w:tcPr>
            <w:tcW w:w="3816" w:type="dxa"/>
            <w:vMerge w:val="restart"/>
            <w:tcBorders>
              <w:top w:val="nil"/>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《社会艺术水平考级管理办法》第二十九条：“未经批准擅自或者变相开办艺术考级活动的，由文化行政部门责令其停止违法活动并退还其所收取的费用，宣布考试无效，并处以10000元以上30000元以下的罚款。</w:t>
            </w:r>
          </w:p>
        </w:tc>
        <w:tc>
          <w:tcPr>
            <w:tcW w:w="884"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一般违法行为</w:t>
            </w:r>
          </w:p>
        </w:tc>
        <w:tc>
          <w:tcPr>
            <w:tcW w:w="44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未经批准擅自或变相开办艺术考级活动，考级活动尚未进行被及时发现制止的。</w:t>
            </w:r>
          </w:p>
        </w:tc>
        <w:tc>
          <w:tcPr>
            <w:tcW w:w="3120"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责令停止考级活动，退还其所收取的费用，处以1万元罚款。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81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84"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较重违法行为</w:t>
            </w:r>
          </w:p>
        </w:tc>
        <w:tc>
          <w:tcPr>
            <w:tcW w:w="44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未经批准擅自或变相开办艺术考级活动，被文化行政部门查处，在规定的时间内取消考级活动、退还所收取的费用的。</w:t>
            </w:r>
          </w:p>
        </w:tc>
        <w:tc>
          <w:tcPr>
            <w:tcW w:w="3120"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责令停止考级活动，宣布考试无效，处1万元至2万元的罚款。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81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84"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严重违法行为</w:t>
            </w:r>
          </w:p>
        </w:tc>
        <w:tc>
          <w:tcPr>
            <w:tcW w:w="44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未经批准擅自或变相开办艺术考级活动，被文化行政部门查处，不按规定整改，给社会造成恶劣影响的。</w:t>
            </w:r>
          </w:p>
        </w:tc>
        <w:tc>
          <w:tcPr>
            <w:tcW w:w="3120"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责令停止考级活动，退还其所收取的费用，处2万元至3万元罚款。</w:t>
            </w:r>
          </w:p>
        </w:tc>
      </w:tr>
    </w:tbl>
    <w:tbl>
      <w:tblPr>
        <w:tblStyle w:val="2"/>
        <w:tblpPr w:leftFromText="180" w:rightFromText="180" w:vertAnchor="text" w:horzAnchor="page" w:tblpX="1492" w:tblpY="329"/>
        <w:tblOverlap w:val="never"/>
        <w:tblW w:w="139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6"/>
        <w:gridCol w:w="3927"/>
        <w:gridCol w:w="817"/>
        <w:gridCol w:w="1066"/>
        <w:gridCol w:w="4517"/>
        <w:gridCol w:w="2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tcBorders>
              <w:top w:val="inset" w:color="auto" w:sz="6" w:space="0"/>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序号</w:t>
            </w:r>
          </w:p>
        </w:tc>
        <w:tc>
          <w:tcPr>
            <w:tcW w:w="392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81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451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4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restart"/>
            <w:tcBorders>
              <w:top w:val="nil"/>
              <w:left w:val="inset" w:color="auto" w:sz="6" w:space="0"/>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2</w:t>
            </w:r>
          </w:p>
        </w:tc>
        <w:tc>
          <w:tcPr>
            <w:tcW w:w="3927"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《社会艺术水平考级管理办法》第三十条：“艺术考级有下列行为之一的，由文化行政部门予以警告，责令改正并处以1000元以上3000元以下罚款：</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（一）未按规定报审批机关备案即发布考级简章的；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（二）组织艺术考级活动未按规定将考级时间、考级地点、考生数量、考场安排等情况报文化行政部门备案的；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（三）艺术考级活动结束后未按规定将发放艺术考级证书的名单报文化行政部门备案的；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（四）艺术考级考官及考级工作主要负责人、办公地点有变动未按规定向审批机关备案的。”</w:t>
            </w:r>
          </w:p>
        </w:tc>
        <w:tc>
          <w:tcPr>
            <w:tcW w:w="817" w:type="dxa"/>
            <w:vMerge w:val="restart"/>
            <w:tcBorders>
              <w:top w:val="nil"/>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（一）未按</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规定报审批机关备案即发布考级简章的</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一般违法行为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未按规定报审批机关备案即发布考级简章，检查中主动说明情况并提供相关材料，且积极纠正整改的。</w:t>
            </w:r>
          </w:p>
        </w:tc>
        <w:tc>
          <w:tcPr>
            <w:tcW w:w="29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予以警告、责令限期改正，处1000元罚款。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较重违法行为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未按规定报审批机关备案即发布考级简章，且内容与实际情况不符。</w:t>
            </w:r>
          </w:p>
        </w:tc>
        <w:tc>
          <w:tcPr>
            <w:tcW w:w="29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予以警告并责令限期整改，处1000元至2000元罚款。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严重违法行为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未按规定报审批机关备案即发布考级简章，经文化行政部门查处后继续进行考级活动的。</w:t>
            </w:r>
          </w:p>
        </w:tc>
        <w:tc>
          <w:tcPr>
            <w:tcW w:w="29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予以警告、责令限期整改并处2000元至3000元罚款。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29" w:hRule="atLeast"/>
        </w:trPr>
        <w:tc>
          <w:tcPr>
            <w:tcW w:w="626" w:type="dxa"/>
            <w:tcBorders>
              <w:top w:val="inset" w:color="auto" w:sz="6" w:space="0"/>
              <w:left w:val="inset" w:color="auto" w:sz="6" w:space="0"/>
              <w:bottom w:val="inset" w:color="auto" w:sz="6" w:space="0"/>
              <w:right w:val="inset" w:color="auto" w:sz="6" w:space="0"/>
            </w:tcBorders>
            <w:vAlign w:val="center"/>
          </w:tcPr>
          <w:p>
            <w:pPr>
              <w:widowControl/>
              <w:spacing w:line="450" w:lineRule="atLeast"/>
              <w:jc w:val="center"/>
              <w:rPr>
                <w:rFonts w:ascii="仿宋" w:hAnsi="仿宋" w:eastAsia="仿宋"/>
                <w:sz w:val="24"/>
                <w:szCs w:val="24"/>
              </w:rPr>
            </w:pPr>
            <w:r>
              <w:rPr>
                <w:rFonts w:hint="eastAsia" w:ascii="仿宋" w:hAnsi="仿宋" w:eastAsia="仿宋"/>
                <w:kern w:val="0"/>
                <w:sz w:val="24"/>
                <w:szCs w:val="24"/>
              </w:rPr>
              <w:t>序号</w:t>
            </w:r>
          </w:p>
        </w:tc>
        <w:tc>
          <w:tcPr>
            <w:tcW w:w="3927"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817"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4517"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47" w:type="dxa"/>
            <w:tcBorders>
              <w:top w:val="inset" w:color="auto" w:sz="6" w:space="0"/>
              <w:left w:val="nil"/>
              <w:bottom w:val="inset" w:color="auto" w:sz="6" w:space="0"/>
              <w:right w:val="inset" w:color="auto" w:sz="6" w:space="0"/>
            </w:tcBorders>
            <w:vAlign w:val="center"/>
          </w:tcPr>
          <w:p>
            <w:pPr>
              <w:widowControl/>
              <w:spacing w:line="330" w:lineRule="atLeast"/>
              <w:jc w:val="center"/>
              <w:rPr>
                <w:rFonts w:hint="eastAsia" w:ascii="仿宋" w:hAnsi="仿宋" w:eastAsia="仿宋"/>
                <w:kern w:val="0"/>
                <w:sz w:val="24"/>
                <w:szCs w:val="24"/>
              </w:rPr>
            </w:pPr>
            <w:r>
              <w:rPr>
                <w:rFonts w:hint="eastAsia" w:ascii="仿宋" w:hAnsi="仿宋" w:eastAsia="仿宋"/>
                <w:kern w:val="0"/>
                <w:sz w:val="24"/>
                <w:szCs w:val="24"/>
              </w:rPr>
              <w:t>行政处罚标准</w:t>
            </w:r>
          </w:p>
          <w:p>
            <w:pPr>
              <w:widowControl/>
              <w:spacing w:line="330" w:lineRule="atLeast"/>
              <w:jc w:val="center"/>
              <w:rPr>
                <w:rFonts w:hint="eastAsia" w:ascii="仿宋" w:hAns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restart"/>
            <w:tcBorders>
              <w:top w:val="nil"/>
              <w:left w:val="inset" w:color="auto" w:sz="6" w:space="0"/>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3</w:t>
            </w:r>
          </w:p>
        </w:tc>
        <w:tc>
          <w:tcPr>
            <w:tcW w:w="3927"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　</w:t>
            </w:r>
          </w:p>
        </w:tc>
        <w:tc>
          <w:tcPr>
            <w:tcW w:w="817" w:type="dxa"/>
            <w:vMerge w:val="restart"/>
            <w:tcBorders>
              <w:top w:val="nil"/>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（二）组织艺术考级活动未按规定将考级时间、考级地点、考生数量等情况报文化行政部门备案的</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一般违法行为</w:t>
            </w:r>
          </w:p>
        </w:tc>
        <w:tc>
          <w:tcPr>
            <w:tcW w:w="4517" w:type="dxa"/>
            <w:tcBorders>
              <w:top w:val="inset" w:color="auto" w:sz="6" w:space="0"/>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未按规定进行考前备案，经文化行政部门查处后能说明情况并及时进行补办相关手续的。</w:t>
            </w:r>
          </w:p>
        </w:tc>
        <w:tc>
          <w:tcPr>
            <w:tcW w:w="2947" w:type="dxa"/>
            <w:tcBorders>
              <w:top w:val="inset" w:color="auto" w:sz="6" w:space="0"/>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责令改正，限期补办相关手续，罚款1000元。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较重违法行为</w:t>
            </w:r>
          </w:p>
        </w:tc>
        <w:tc>
          <w:tcPr>
            <w:tcW w:w="4517" w:type="dxa"/>
            <w:tcBorders>
              <w:top w:val="inset" w:color="auto" w:sz="6" w:space="0"/>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未按规定到文化行政部门进行考前备案且无正当理由的。</w:t>
            </w:r>
          </w:p>
        </w:tc>
        <w:tc>
          <w:tcPr>
            <w:tcW w:w="2947" w:type="dxa"/>
            <w:tcBorders>
              <w:top w:val="inset" w:color="auto" w:sz="6" w:space="0"/>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予以警告，责令改正，处1000元至2000元罚款。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4" w:hRule="atLeast"/>
        </w:trPr>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严重违法行为</w:t>
            </w:r>
          </w:p>
        </w:tc>
        <w:tc>
          <w:tcPr>
            <w:tcW w:w="4517" w:type="dxa"/>
            <w:tcBorders>
              <w:top w:val="inset" w:color="auto" w:sz="6" w:space="0"/>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未按规定进行考前备案，经文化行政部门查处后，不能按期整改且继续进行考级活动的。</w:t>
            </w:r>
          </w:p>
        </w:tc>
        <w:tc>
          <w:tcPr>
            <w:tcW w:w="2947" w:type="dxa"/>
            <w:tcBorders>
              <w:top w:val="inset" w:color="auto" w:sz="6" w:space="0"/>
              <w:left w:val="nil"/>
              <w:bottom w:val="inset" w:color="auto" w:sz="6" w:space="0"/>
              <w:right w:val="inset" w:color="auto" w:sz="6" w:space="0"/>
            </w:tcBorders>
          </w:tcPr>
          <w:p>
            <w:pPr>
              <w:widowControl/>
              <w:spacing w:line="330" w:lineRule="atLeast"/>
              <w:jc w:val="both"/>
              <w:rPr>
                <w:rFonts w:ascii="仿宋" w:hAnsi="仿宋" w:eastAsia="仿宋"/>
                <w:sz w:val="24"/>
                <w:szCs w:val="24"/>
              </w:rPr>
            </w:pPr>
            <w:r>
              <w:rPr>
                <w:rFonts w:hint="eastAsia" w:ascii="仿宋" w:hAnsi="仿宋" w:eastAsia="仿宋"/>
                <w:kern w:val="0"/>
                <w:sz w:val="24"/>
                <w:szCs w:val="24"/>
              </w:rPr>
              <w:t>予以警告，责令改正，处2000元至3000元罚款。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tcBorders>
              <w:top w:val="inset" w:color="auto" w:sz="6" w:space="0"/>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序号</w:t>
            </w:r>
          </w:p>
        </w:tc>
        <w:tc>
          <w:tcPr>
            <w:tcW w:w="392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81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066"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451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4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restart"/>
            <w:tcBorders>
              <w:top w:val="nil"/>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927"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　</w:t>
            </w:r>
          </w:p>
        </w:tc>
        <w:tc>
          <w:tcPr>
            <w:tcW w:w="817"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（三）艺术考级活动结束后未按规定将发放艺术考级证书的名单报文</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化行政部门备案的；</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一般违法行为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艺术考级活动结束后不在规定时限（60日内）将发放艺术考级证书的名单报文化行政部门备案。</w:t>
            </w:r>
          </w:p>
        </w:tc>
        <w:tc>
          <w:tcPr>
            <w:tcW w:w="29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予以警告，责令改正，限期补办相关手续，处1000元罚款。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较重违法行为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艺术考级活动结束后不按规定将发放艺术考级证书的名单报文化行政部门备案且无正当理由。</w:t>
            </w:r>
          </w:p>
        </w:tc>
        <w:tc>
          <w:tcPr>
            <w:tcW w:w="294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予以警告，责令整改，处1000元至2000元罚款。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6"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392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817"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066"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严重违法行为</w:t>
            </w:r>
          </w:p>
        </w:tc>
        <w:tc>
          <w:tcPr>
            <w:tcW w:w="451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艺术考级活动结束后不按规定将发放艺术考级证书的名单报文化行政部门备案，经文化部门查处后继续进行考级活动。</w:t>
            </w:r>
          </w:p>
        </w:tc>
        <w:tc>
          <w:tcPr>
            <w:tcW w:w="2947" w:type="dxa"/>
            <w:tcBorders>
              <w:top w:val="inset" w:color="auto" w:sz="6" w:space="0"/>
              <w:left w:val="nil"/>
              <w:bottom w:val="inset" w:color="auto" w:sz="6" w:space="0"/>
              <w:right w:val="inset" w:color="auto" w:sz="6" w:space="0"/>
            </w:tcBorders>
          </w:tcPr>
          <w:p>
            <w:pPr>
              <w:widowControl/>
              <w:spacing w:line="330" w:lineRule="atLeast"/>
              <w:rPr>
                <w:rFonts w:ascii="仿宋" w:hAnsi="仿宋" w:eastAsia="仿宋"/>
                <w:sz w:val="24"/>
                <w:szCs w:val="24"/>
              </w:rPr>
            </w:pPr>
            <w:r>
              <w:rPr>
                <w:rFonts w:hint="eastAsia" w:ascii="仿宋" w:hAnsi="仿宋" w:eastAsia="仿宋"/>
                <w:kern w:val="0"/>
                <w:sz w:val="24"/>
                <w:szCs w:val="24"/>
              </w:rPr>
              <w:t>予以警告，责令整改主，处2000元至3000元罚款。</w:t>
            </w:r>
          </w:p>
        </w:tc>
      </w:tr>
    </w:tbl>
    <w:tbl>
      <w:tblPr>
        <w:tblStyle w:val="2"/>
        <w:tblpPr w:leftFromText="180" w:rightFromText="180" w:vertAnchor="text" w:horzAnchor="page" w:tblpX="1576" w:tblpY="364"/>
        <w:tblOverlap w:val="never"/>
        <w:tblW w:w="138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7"/>
        <w:gridCol w:w="4288"/>
        <w:gridCol w:w="1744"/>
        <w:gridCol w:w="1130"/>
        <w:gridCol w:w="3047"/>
        <w:gridCol w:w="29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tcBorders>
              <w:top w:val="inset" w:color="auto" w:sz="6" w:space="0"/>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序号</w:t>
            </w:r>
          </w:p>
        </w:tc>
        <w:tc>
          <w:tcPr>
            <w:tcW w:w="4288"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1744"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130"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304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66"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restart"/>
            <w:tcBorders>
              <w:top w:val="nil"/>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4288"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　</w:t>
            </w:r>
          </w:p>
        </w:tc>
        <w:tc>
          <w:tcPr>
            <w:tcW w:w="1744"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 xml:space="preserve">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（四）艺术考级考官及考级主要负责人、办公地点有变动未按规定向审批机关备案的。</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一般违法行为</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艺术考级考官及考级工作主要负责人、办公地点有变动，不按规定时限（20日内）向申批机关备案的。</w:t>
            </w:r>
          </w:p>
        </w:tc>
        <w:tc>
          <w:tcPr>
            <w:tcW w:w="2966"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予以警告，责令整改，限期</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补办相关手续，处1000元</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较重违法行为</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艺术考级考官及考级工作主要负责人、办公地点有变动，不按规定到申批机关备案的。</w:t>
            </w:r>
          </w:p>
        </w:tc>
        <w:tc>
          <w:tcPr>
            <w:tcW w:w="2966" w:type="dxa"/>
            <w:tcBorders>
              <w:top w:val="inset" w:color="auto" w:sz="6" w:space="0"/>
              <w:left w:val="nil"/>
              <w:bottom w:val="inset" w:color="auto" w:sz="6" w:space="0"/>
              <w:right w:val="inset" w:color="auto" w:sz="6" w:space="0"/>
            </w:tcBorders>
          </w:tcPr>
          <w:p>
            <w:pPr>
              <w:widowControl/>
              <w:spacing w:line="330" w:lineRule="atLeast"/>
              <w:jc w:val="both"/>
              <w:rPr>
                <w:rFonts w:ascii="仿宋" w:hAnsi="仿宋" w:eastAsia="仿宋"/>
                <w:sz w:val="24"/>
                <w:szCs w:val="24"/>
              </w:rPr>
            </w:pPr>
            <w:r>
              <w:rPr>
                <w:rFonts w:hint="eastAsia" w:ascii="仿宋" w:hAnsi="仿宋" w:eastAsia="仿宋"/>
                <w:kern w:val="0"/>
                <w:sz w:val="24"/>
                <w:szCs w:val="24"/>
              </w:rPr>
              <w:t>予以警告，责,</w:t>
            </w:r>
          </w:p>
          <w:p>
            <w:pPr>
              <w:widowControl/>
              <w:spacing w:line="330" w:lineRule="atLeast"/>
              <w:jc w:val="both"/>
              <w:rPr>
                <w:rFonts w:ascii="仿宋" w:hAnsi="仿宋" w:eastAsia="仿宋"/>
                <w:sz w:val="24"/>
                <w:szCs w:val="24"/>
              </w:rPr>
            </w:pPr>
            <w:r>
              <w:rPr>
                <w:rFonts w:hint="eastAsia" w:ascii="仿宋" w:hAnsi="仿宋" w:eastAsia="仿宋"/>
                <w:kern w:val="0"/>
                <w:sz w:val="24"/>
                <w:szCs w:val="24"/>
              </w:rPr>
              <w:t>令改正，处1, 000元至2000</w:t>
            </w:r>
          </w:p>
          <w:p>
            <w:pPr>
              <w:widowControl/>
              <w:spacing w:line="330" w:lineRule="atLeast"/>
              <w:jc w:val="both"/>
              <w:rPr>
                <w:rFonts w:ascii="仿宋" w:hAnsi="仿宋" w:eastAsia="仿宋"/>
                <w:sz w:val="24"/>
                <w:szCs w:val="24"/>
              </w:rPr>
            </w:pPr>
            <w:r>
              <w:rPr>
                <w:rFonts w:hint="eastAsia" w:ascii="仿宋" w:hAnsi="仿宋" w:eastAsia="仿宋"/>
                <w:kern w:val="0"/>
                <w:sz w:val="24"/>
                <w:szCs w:val="24"/>
              </w:rPr>
              <w:t>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99" w:hRule="atLeast"/>
        </w:trPr>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严重违法行为</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艺术考级考官及考级主要负责人、办公地点有变动，不到审批机关备案，经文化行政部门查处后，不能按规定整改，且继续进行考级活动的。</w:t>
            </w:r>
          </w:p>
        </w:tc>
        <w:tc>
          <w:tcPr>
            <w:tcW w:w="2966" w:type="dxa"/>
            <w:tcBorders>
              <w:top w:val="inset" w:color="auto" w:sz="6" w:space="0"/>
              <w:left w:val="nil"/>
              <w:bottom w:val="inset" w:color="auto" w:sz="6" w:space="0"/>
              <w:right w:val="inset" w:color="auto" w:sz="6" w:space="0"/>
            </w:tcBorders>
          </w:tcPr>
          <w:p>
            <w:pPr>
              <w:widowControl/>
              <w:spacing w:line="330" w:lineRule="atLeast"/>
              <w:jc w:val="both"/>
              <w:rPr>
                <w:rFonts w:ascii="仿宋" w:hAnsi="仿宋" w:eastAsia="仿宋"/>
                <w:sz w:val="24"/>
                <w:szCs w:val="24"/>
              </w:rPr>
            </w:pPr>
            <w:r>
              <w:rPr>
                <w:rFonts w:hint="eastAsia" w:ascii="仿宋" w:hAnsi="仿宋" w:eastAsia="仿宋"/>
                <w:kern w:val="0"/>
                <w:sz w:val="24"/>
                <w:szCs w:val="24"/>
              </w:rPr>
              <w:t>予经警告，责</w:t>
            </w:r>
          </w:p>
          <w:p>
            <w:pPr>
              <w:widowControl/>
              <w:spacing w:line="330" w:lineRule="atLeast"/>
              <w:jc w:val="both"/>
              <w:rPr>
                <w:rFonts w:ascii="仿宋" w:hAnsi="仿宋" w:eastAsia="仿宋"/>
                <w:sz w:val="24"/>
                <w:szCs w:val="24"/>
              </w:rPr>
            </w:pPr>
            <w:r>
              <w:rPr>
                <w:rFonts w:hint="eastAsia" w:ascii="仿宋" w:hAnsi="仿宋" w:eastAsia="仿宋"/>
                <w:kern w:val="0"/>
                <w:sz w:val="24"/>
                <w:szCs w:val="24"/>
              </w:rPr>
              <w:t>令改正，处2000元至3000</w:t>
            </w:r>
          </w:p>
          <w:p>
            <w:pPr>
              <w:widowControl/>
              <w:spacing w:line="330" w:lineRule="atLeast"/>
              <w:jc w:val="both"/>
              <w:rPr>
                <w:rFonts w:ascii="仿宋" w:hAnsi="仿宋" w:eastAsia="仿宋"/>
                <w:sz w:val="24"/>
                <w:szCs w:val="24"/>
              </w:rPr>
            </w:pPr>
            <w:r>
              <w:rPr>
                <w:rFonts w:hint="eastAsia" w:ascii="仿宋" w:hAnsi="仿宋" w:eastAsia="仿宋"/>
                <w:kern w:val="0"/>
                <w:sz w:val="24"/>
                <w:szCs w:val="24"/>
              </w:rPr>
              <w:t>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tcBorders>
              <w:top w:val="inset" w:color="auto" w:sz="6" w:space="0"/>
              <w:left w:val="inset" w:color="auto" w:sz="6" w:space="0"/>
              <w:bottom w:val="inset" w:color="auto" w:sz="6" w:space="0"/>
              <w:right w:val="inset" w:color="auto" w:sz="6" w:space="0"/>
            </w:tcBorders>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序号</w:t>
            </w:r>
          </w:p>
        </w:tc>
        <w:tc>
          <w:tcPr>
            <w:tcW w:w="4288" w:type="dxa"/>
            <w:tcBorders>
              <w:top w:val="inset" w:color="auto" w:sz="6" w:space="0"/>
              <w:left w:val="nil"/>
              <w:bottom w:val="inset" w:color="auto" w:sz="6" w:space="0"/>
              <w:right w:val="inset" w:color="auto" w:sz="6" w:space="0"/>
            </w:tcBorders>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1744" w:type="dxa"/>
            <w:tcBorders>
              <w:top w:val="inset" w:color="auto" w:sz="6" w:space="0"/>
              <w:left w:val="nil"/>
              <w:bottom w:val="inset" w:color="auto" w:sz="6" w:space="0"/>
              <w:right w:val="inset" w:color="auto" w:sz="6" w:space="0"/>
            </w:tcBorders>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3047" w:type="dxa"/>
            <w:tcBorders>
              <w:top w:val="inset" w:color="auto" w:sz="6" w:space="0"/>
              <w:left w:val="nil"/>
              <w:bottom w:val="inset" w:color="auto" w:sz="6" w:space="0"/>
              <w:right w:val="inset" w:color="auto" w:sz="6" w:space="0"/>
            </w:tcBorders>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66" w:type="dxa"/>
            <w:tcBorders>
              <w:top w:val="inset" w:color="auto" w:sz="6" w:space="0"/>
              <w:left w:val="nil"/>
              <w:bottom w:val="inset" w:color="auto" w:sz="6" w:space="0"/>
              <w:right w:val="inset" w:color="auto" w:sz="6" w:space="0"/>
            </w:tcBorders>
          </w:tcPr>
          <w:p>
            <w:pPr>
              <w:widowControl/>
              <w:spacing w:line="330" w:lineRule="atLeast"/>
              <w:jc w:val="center"/>
              <w:rPr>
                <w:rFonts w:hint="eastAsia" w:ascii="仿宋" w:hAnsi="仿宋" w:eastAsia="仿宋"/>
                <w:kern w:val="0"/>
                <w:sz w:val="24"/>
                <w:szCs w:val="24"/>
              </w:rPr>
            </w:pP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restart"/>
            <w:tcBorders>
              <w:top w:val="nil"/>
              <w:left w:val="inset" w:color="auto" w:sz="6" w:space="0"/>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3</w:t>
            </w:r>
          </w:p>
        </w:tc>
        <w:tc>
          <w:tcPr>
            <w:tcW w:w="4288" w:type="dxa"/>
            <w:vMerge w:val="restart"/>
            <w:tcBorders>
              <w:top w:val="nil"/>
              <w:left w:val="nil"/>
              <w:bottom w:val="inset" w:color="auto" w:sz="6" w:space="0"/>
              <w:right w:val="inset" w:color="auto" w:sz="6" w:space="0"/>
            </w:tcBorders>
            <w:vAlign w:val="center"/>
          </w:tcPr>
          <w:p>
            <w:pPr>
              <w:widowControl/>
              <w:spacing w:line="330" w:lineRule="atLeast"/>
              <w:rPr>
                <w:rFonts w:ascii="仿宋" w:hAnsi="仿宋" w:eastAsia="仿宋"/>
                <w:sz w:val="24"/>
                <w:szCs w:val="24"/>
              </w:rPr>
            </w:pPr>
            <w:r>
              <w:rPr>
                <w:rFonts w:hint="eastAsia" w:ascii="仿宋" w:hAnsi="仿宋" w:eastAsia="仿宋"/>
                <w:kern w:val="0"/>
                <w:sz w:val="24"/>
                <w:szCs w:val="24"/>
              </w:rPr>
              <w:t>《社会艺术水平考级管理办法》第三十一条：“艺术考级机构有下列行为之一的，由文化行政部门责令停止考级活动，宣布考试无效，并处以2000元以上5000元以下罚款；考生因此受到的损失由艺术考级机构赔偿：</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(一)未按核准的艺术考级专业组织艺术考级活动的；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（二）执考考官及其行为不符合第二十三条和第二十四条规定的；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（三）未按规定要求实行回避的；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（四）考级过程中徇私舞弊、弄虚作假的。”</w:t>
            </w:r>
          </w:p>
        </w:tc>
        <w:tc>
          <w:tcPr>
            <w:tcW w:w="1744"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restart"/>
            <w:tcBorders>
              <w:top w:val="nil"/>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按本条规定</w:t>
            </w: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执行</w:t>
            </w:r>
          </w:p>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tcBorders>
              <w:top w:val="inset" w:color="auto" w:sz="6" w:space="0"/>
              <w:left w:val="inset" w:color="auto" w:sz="6" w:space="0"/>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序号</w:t>
            </w:r>
          </w:p>
        </w:tc>
        <w:tc>
          <w:tcPr>
            <w:tcW w:w="4288"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行政处罚依据</w:t>
            </w:r>
          </w:p>
        </w:tc>
        <w:tc>
          <w:tcPr>
            <w:tcW w:w="1744"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项</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裁量阶次</w:t>
            </w:r>
          </w:p>
        </w:tc>
        <w:tc>
          <w:tcPr>
            <w:tcW w:w="3047"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违法行为表现情形</w:t>
            </w:r>
          </w:p>
        </w:tc>
        <w:tc>
          <w:tcPr>
            <w:tcW w:w="2966" w:type="dxa"/>
            <w:tcBorders>
              <w:top w:val="inset" w:color="auto" w:sz="6" w:space="0"/>
              <w:left w:val="nil"/>
              <w:bottom w:val="inset" w:color="auto" w:sz="6" w:space="0"/>
              <w:right w:val="inset" w:color="auto" w:sz="6" w:space="0"/>
            </w:tcBorders>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行政处罚标准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restart"/>
            <w:tcBorders>
              <w:top w:val="nil"/>
              <w:left w:val="inset" w:color="auto" w:sz="6" w:space="0"/>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4</w:t>
            </w:r>
          </w:p>
        </w:tc>
        <w:tc>
          <w:tcPr>
            <w:tcW w:w="4288" w:type="dxa"/>
            <w:vMerge w:val="restart"/>
            <w:tcBorders>
              <w:top w:val="nil"/>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仿宋" w:hAnsi="仿宋" w:eastAsia="仿宋"/>
                <w:kern w:val="0"/>
                <w:sz w:val="24"/>
                <w:szCs w:val="24"/>
              </w:rPr>
              <w:t>《社会艺术水平考级管理办法》第三十二条：“艺术考级有下列行为之一的，由文化行政部门责令改正，给予停止1年艺术考级活动的处罚；情节严重的，取消开办艺术考级活动的资格，收缴《社会艺术水平考级资格证书》：</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（一）委托承办单位未按规定报文化行政部门备案或者委托的承办单位不符合规定的；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（二）发放未经监制的《社会艺术水平考级证书》的；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（三）向被宣布考试无效的考生发放《社会艺术水平考级证书》的；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（四）未经批准，擅自扩大设置考场范围的；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（五）违反物价管理部门的核定的收费标准多收费的；</w:t>
            </w:r>
          </w:p>
          <w:p>
            <w:pPr>
              <w:widowControl/>
              <w:spacing w:line="330" w:lineRule="atLeast"/>
              <w:jc w:val="left"/>
              <w:rPr>
                <w:rFonts w:ascii="仿宋" w:hAnsi="仿宋" w:eastAsia="仿宋"/>
                <w:sz w:val="24"/>
                <w:szCs w:val="24"/>
              </w:rPr>
            </w:pPr>
            <w:r>
              <w:rPr>
                <w:rFonts w:hint="eastAsia" w:ascii="仿宋" w:hAnsi="仿宋" w:eastAsia="仿宋"/>
                <w:kern w:val="0"/>
                <w:sz w:val="24"/>
                <w:szCs w:val="24"/>
              </w:rPr>
              <w:t>（六）阻挠、抗拒文化行政部门工作人员监督检查的；“</w:t>
            </w:r>
          </w:p>
        </w:tc>
        <w:tc>
          <w:tcPr>
            <w:tcW w:w="1744"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restart"/>
            <w:tcBorders>
              <w:top w:val="nil"/>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仿宋" w:hAnsi="仿宋" w:eastAsia="仿宋"/>
                <w:kern w:val="0"/>
                <w:sz w:val="24"/>
                <w:szCs w:val="24"/>
              </w:rPr>
              <w:t>按本条规定</w:t>
            </w:r>
          </w:p>
          <w:p>
            <w:pPr>
              <w:widowControl/>
              <w:spacing w:line="330" w:lineRule="atLeast"/>
              <w:jc w:val="center"/>
              <w:rPr>
                <w:rFonts w:ascii="仿宋" w:hAnsi="仿宋" w:eastAsia="仿宋"/>
                <w:sz w:val="24"/>
                <w:szCs w:val="24"/>
              </w:rPr>
            </w:pPr>
            <w:r>
              <w:rPr>
                <w:rFonts w:hint="eastAsia" w:ascii="仿宋" w:hAnsi="仿宋" w:eastAsia="仿宋"/>
                <w:kern w:val="0"/>
                <w:sz w:val="24"/>
                <w:szCs w:val="24"/>
              </w:rPr>
              <w:t>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center"/>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27" w:type="dxa"/>
            <w:vMerge w:val="continue"/>
            <w:tcBorders>
              <w:top w:val="nil"/>
              <w:left w:val="inset" w:color="auto" w:sz="6" w:space="0"/>
              <w:bottom w:val="inset" w:color="auto" w:sz="6" w:space="0"/>
              <w:right w:val="inset" w:color="auto" w:sz="6" w:space="0"/>
            </w:tcBorders>
            <w:vAlign w:val="center"/>
          </w:tcPr>
          <w:p>
            <w:pPr>
              <w:widowControl/>
              <w:jc w:val="left"/>
              <w:rPr>
                <w:rFonts w:ascii="仿宋" w:hAnsi="仿宋" w:eastAsia="仿宋"/>
                <w:sz w:val="24"/>
                <w:szCs w:val="24"/>
              </w:rPr>
            </w:pPr>
          </w:p>
        </w:tc>
        <w:tc>
          <w:tcPr>
            <w:tcW w:w="4288"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c>
          <w:tcPr>
            <w:tcW w:w="1744"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1130" w:type="dxa"/>
            <w:tcBorders>
              <w:top w:val="inset" w:color="auto" w:sz="6" w:space="0"/>
              <w:left w:val="nil"/>
              <w:bottom w:val="inset" w:color="auto" w:sz="6" w:space="0"/>
              <w:right w:val="inset" w:color="auto" w:sz="6" w:space="0"/>
            </w:tcBorders>
            <w:vAlign w:val="center"/>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3047" w:type="dxa"/>
            <w:tcBorders>
              <w:top w:val="inset" w:color="auto" w:sz="6" w:space="0"/>
              <w:left w:val="nil"/>
              <w:bottom w:val="inset" w:color="auto" w:sz="6" w:space="0"/>
              <w:right w:val="inset" w:color="auto" w:sz="6" w:space="0"/>
            </w:tcBorders>
          </w:tcPr>
          <w:p>
            <w:pPr>
              <w:widowControl/>
              <w:spacing w:line="330" w:lineRule="atLeast"/>
              <w:jc w:val="left"/>
              <w:rPr>
                <w:rFonts w:ascii="仿宋" w:hAnsi="仿宋" w:eastAsia="仿宋"/>
                <w:sz w:val="24"/>
                <w:szCs w:val="24"/>
              </w:rPr>
            </w:pPr>
            <w:r>
              <w:rPr>
                <w:rFonts w:hint="eastAsia" w:ascii="宋体" w:hAnsi="宋体" w:eastAsia="仿宋"/>
                <w:kern w:val="0"/>
                <w:sz w:val="24"/>
                <w:szCs w:val="24"/>
              </w:rPr>
              <w:t> </w:t>
            </w:r>
          </w:p>
        </w:tc>
        <w:tc>
          <w:tcPr>
            <w:tcW w:w="2966" w:type="dxa"/>
            <w:vMerge w:val="continue"/>
            <w:tcBorders>
              <w:top w:val="nil"/>
              <w:left w:val="nil"/>
              <w:bottom w:val="inset" w:color="auto" w:sz="6" w:space="0"/>
              <w:right w:val="inset" w:color="auto" w:sz="6" w:space="0"/>
            </w:tcBorders>
            <w:vAlign w:val="center"/>
          </w:tcPr>
          <w:p>
            <w:pPr>
              <w:widowControl/>
              <w:jc w:val="left"/>
              <w:rPr>
                <w:rFonts w:ascii="仿宋" w:hAnsi="仿宋" w:eastAsia="仿宋"/>
                <w:sz w:val="24"/>
                <w:szCs w:val="24"/>
              </w:rPr>
            </w:pPr>
          </w:p>
        </w:tc>
      </w:tr>
    </w:tbl>
    <w:p>
      <w:pPr>
        <w:widowControl/>
        <w:spacing w:line="450" w:lineRule="atLeast"/>
        <w:jc w:val="left"/>
        <w:rPr>
          <w:rFonts w:hint="eastAsia" w:ascii="仿宋" w:hAnsi="仿宋" w:eastAsia="仿宋"/>
          <w:color w:val="000000"/>
          <w:kern w:val="0"/>
          <w:sz w:val="24"/>
          <w:szCs w:val="24"/>
        </w:rPr>
      </w:pPr>
    </w:p>
    <w:p>
      <w:pPr>
        <w:widowControl/>
        <w:spacing w:line="450" w:lineRule="atLeast"/>
        <w:jc w:val="left"/>
        <w:rPr>
          <w:rFonts w:hint="eastAsia" w:ascii="仿宋" w:hAnsi="仿宋" w:eastAsia="仿宋"/>
          <w:color w:val="000000"/>
          <w:kern w:val="0"/>
          <w:sz w:val="24"/>
          <w:szCs w:val="24"/>
        </w:rPr>
      </w:pPr>
    </w:p>
    <w:p>
      <w:pPr>
        <w:widowControl/>
        <w:spacing w:line="450" w:lineRule="atLeast"/>
        <w:jc w:val="left"/>
        <w:rPr>
          <w:rFonts w:hint="eastAsia" w:ascii="仿宋" w:hAnsi="仿宋" w:eastAsia="仿宋"/>
          <w:color w:val="000000"/>
          <w:kern w:val="0"/>
          <w:sz w:val="24"/>
          <w:szCs w:val="24"/>
        </w:rPr>
      </w:pPr>
    </w:p>
    <w:p>
      <w:pPr>
        <w:widowControl/>
        <w:spacing w:line="450" w:lineRule="atLeast"/>
        <w:jc w:val="left"/>
        <w:rPr>
          <w:rFonts w:ascii="仿宋" w:hAnsi="仿宋" w:eastAsia="仿宋"/>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0AA9"/>
    <w:rsid w:val="000638A4"/>
    <w:rsid w:val="005567EA"/>
    <w:rsid w:val="00697AE2"/>
    <w:rsid w:val="008B5310"/>
    <w:rsid w:val="008F0698"/>
    <w:rsid w:val="00B021E7"/>
    <w:rsid w:val="00BC0BBB"/>
    <w:rsid w:val="00D10E08"/>
    <w:rsid w:val="00D96A04"/>
    <w:rsid w:val="00DA497C"/>
    <w:rsid w:val="00DC1B21"/>
    <w:rsid w:val="00ED0AA9"/>
    <w:rsid w:val="00F943AE"/>
    <w:rsid w:val="036E3522"/>
    <w:rsid w:val="11FA47F4"/>
    <w:rsid w:val="3BE5299B"/>
    <w:rsid w:val="46B43B35"/>
    <w:rsid w:val="4FA52995"/>
    <w:rsid w:val="57C92470"/>
    <w:rsid w:val="66732AFE"/>
    <w:rsid w:val="7AD01B04"/>
    <w:rsid w:val="7E12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390</Words>
  <Characters>2228</Characters>
  <Lines>18</Lines>
  <Paragraphs>5</Paragraphs>
  <TotalTime>3</TotalTime>
  <ScaleCrop>false</ScaleCrop>
  <LinksUpToDate>false</LinksUpToDate>
  <CharactersWithSpaces>2613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2020-12-10T13:04:00Z</dcterms:created>
  <dc:creator>lenovo</dc:creator>
  <cp:lastModifiedBy>lenovo</cp:lastModifiedBy>
  <dcterms:modified xsi:type="dcterms:W3CDTF">2020-12-13T12:46:52Z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