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 xml:space="preserve"> </w:t>
      </w:r>
    </w:p>
    <w:p>
      <w:pPr>
        <w:spacing w:line="560" w:lineRule="exact"/>
        <w:jc w:val="center"/>
        <w:rPr>
          <w:rFonts w:ascii="宋体" w:hAnsi="宋体"/>
          <w:sz w:val="36"/>
          <w:szCs w:val="36"/>
        </w:rPr>
      </w:pPr>
    </w:p>
    <w:p>
      <w:pPr>
        <w:spacing w:line="560" w:lineRule="exact"/>
        <w:jc w:val="center"/>
        <w:rPr>
          <w:rFonts w:ascii="宋体" w:hAnsi="宋体"/>
          <w:sz w:val="36"/>
          <w:szCs w:val="36"/>
        </w:rPr>
      </w:pPr>
    </w:p>
    <w:p>
      <w:pPr>
        <w:spacing w:line="560" w:lineRule="exact"/>
        <w:rPr>
          <w:rFonts w:hint="eastAsia" w:ascii="宋体" w:hAnsi="宋体"/>
          <w:sz w:val="32"/>
          <w:szCs w:val="32"/>
        </w:rPr>
      </w:pPr>
    </w:p>
    <w:p>
      <w:pPr>
        <w:spacing w:line="560" w:lineRule="exact"/>
        <w:rPr>
          <w:rFonts w:hint="eastAsia" w:ascii="宋体" w:hAnsi="宋体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ind w:firstLine="42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rPr>
          <w:rFonts w:hint="eastAsia"/>
        </w:rPr>
      </w:pP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舞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市监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21〕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exact"/>
        <w:ind w:left="0" w:leftChars="0" w:firstLine="0" w:firstLineChars="0"/>
        <w:textAlignment w:val="auto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关于印发《舞钢市市场监督管理局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2021年全面推进“双随机、一公开”监管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工作实施方案》的通知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rPr>
          <w:rFonts w:hint="eastAsia"/>
        </w:rPr>
      </w:pPr>
    </w:p>
    <w:p>
      <w:pPr>
        <w:widowControl/>
        <w:shd w:val="clear" w:color="auto" w:fill="FFFFFF"/>
        <w:spacing w:line="588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各市场监管所、局机关各股室、局直属部门：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现将《舞钢市市场监督管理局2021年全面推进“双随机、一公开”监管工作实施方案》（以下简称《方案》）印发你们，请严格按照《方案》要求抓好落实。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舞钢市市场监督管理局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2021年4月19日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全面推进“双随机、一公开”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监管工作实施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方案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kern w:val="0"/>
          <w:sz w:val="44"/>
          <w:szCs w:val="44"/>
          <w:lang w:eastAsia="zh-CN"/>
        </w:rPr>
      </w:pPr>
    </w:p>
    <w:p>
      <w:pPr>
        <w:pStyle w:val="7"/>
        <w:widowControl w:val="0"/>
        <w:shd w:val="clear" w:color="auto" w:fill="FFFFFF"/>
        <w:spacing w:before="0" w:beforeAutospacing="0" w:after="0" w:afterAutospacing="0" w:line="600" w:lineRule="exact"/>
        <w:ind w:firstLine="640" w:firstLineChars="200"/>
        <w:jc w:val="left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“双随机、一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公开”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监管是党中央、国务院作出的重大决策部署。近年来，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我局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认真落实</w:t>
      </w:r>
      <w:r>
        <w:rPr>
          <w:rFonts w:hint="eastAsia" w:ascii="宋体" w:hAnsi="宋体" w:eastAsia="仿宋_GB2312" w:cs="仿宋_GB2312"/>
          <w:sz w:val="32"/>
          <w:szCs w:val="32"/>
        </w:rPr>
        <w:t>《河南省人民政府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关于在市场监管领域全面推行部门联合“双随机、一公开”监管的实施意见》（豫政〔201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〕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号）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文件精神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，积极推进“双随机、一公开”监管，取得了良好效果。为全面推进市场监管部门“双随机、一公开”监管工作，加强抽查的统一化、制度化、规范化，有效支撑事中事后监管，按照《国务院关于在市场监管领域全面推行部门联合“双随机、一公开”监管的意见》（国发〔</w:t>
      </w:r>
      <w:r>
        <w:rPr>
          <w:rFonts w:ascii="宋体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〕</w:t>
      </w:r>
      <w:r>
        <w:rPr>
          <w:rFonts w:ascii="宋体" w:hAnsi="宋体" w:eastAsia="仿宋_GB2312" w:cs="宋体"/>
          <w:kern w:val="0"/>
          <w:sz w:val="32"/>
          <w:szCs w:val="32"/>
        </w:rPr>
        <w:t>5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号）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《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舞钢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市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人民政府关于在市场监管领域全面推行部门联合“双随机、一公开”监管的实施意见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》（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舞政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〔20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〕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号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以及省、市局相关文件精神的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要求，结合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舞钢市市场监督管理局“双随机、一公开”监管工作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实际，现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制定实施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方案如下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</w:t>
      </w:r>
    </w:p>
    <w:p>
      <w:pPr>
        <w:widowControl/>
        <w:shd w:val="clear" w:color="auto" w:fill="FFFFFF"/>
        <w:spacing w:line="588" w:lineRule="exact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黑体" w:hAnsi="黑体" w:eastAsia="黑体" w:cs="黑体"/>
          <w:kern w:val="0"/>
          <w:sz w:val="32"/>
          <w:szCs w:val="32"/>
        </w:rPr>
        <w:t>一、总体要求</w:t>
      </w:r>
    </w:p>
    <w:p>
      <w:pPr>
        <w:widowControl/>
        <w:shd w:val="clear" w:color="auto" w:fill="FFFFFF"/>
        <w:spacing w:line="588" w:lineRule="exact"/>
        <w:rPr>
          <w:rFonts w:ascii="楷体_GB2312" w:hAnsi="楷体_GB2312" w:eastAsia="楷体_GB2312" w:cs="Times New Roman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（一）深刻认识“双随机、一公开”监管的重要意义</w:t>
      </w:r>
    </w:p>
    <w:p>
      <w:pPr>
        <w:widowControl/>
        <w:shd w:val="clear" w:color="auto" w:fill="FFFFFF"/>
        <w:spacing w:line="588" w:lineRule="exact"/>
        <w:ind w:firstLine="630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spacing w:val="3"/>
          <w:kern w:val="0"/>
          <w:sz w:val="32"/>
          <w:szCs w:val="32"/>
        </w:rPr>
        <w:t>“双随机、一公开”监管是新形势下市场监管方式的深刻变革。随着简政放权的不断推进和市场主体的大量增加，各类新兴业态层出不穷，一些领域风险日益突出，对市场监管部门加强事中事后监管带来了新挑战。全面推行“双随机、一公开”监管，对于适应商事制度改革新形势和加强事中事后监管新要求、降低监管成本和提升监管效能、解决监管力量不足、减轻企业负担，以及强化市场主体信用意识和主体责任具有十分重要的作用。</w:t>
      </w:r>
    </w:p>
    <w:p>
      <w:pPr>
        <w:widowControl/>
        <w:shd w:val="clear" w:color="auto" w:fill="FFFFFF"/>
        <w:spacing w:line="588" w:lineRule="exact"/>
        <w:ind w:firstLine="630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要切实转变监管理念，创新监管方式，在市场监管职能整合的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基础上，全面推进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以“双随机、一公开”监管为基本手段、以重点监管为补充、以信用监管为基础的新型监管机制，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进一步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强化线上线下一体化监管，着力提升监管公平性、规范性和有效性。以公平公正监管为基本遵循，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按照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“管优不是管乱、管活不是管死”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的原则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，做到监管效能最大化、监管成本最优化、对市场主体干扰最小化，努力营造良好营商环境、有序竞争环境和放心消费环境。</w:t>
      </w:r>
    </w:p>
    <w:p>
      <w:pPr>
        <w:widowControl/>
        <w:shd w:val="clear" w:color="auto" w:fill="FFFFFF"/>
        <w:spacing w:line="588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（二）加强统筹协调</w:t>
      </w:r>
    </w:p>
    <w:p>
      <w:pPr>
        <w:widowControl/>
        <w:shd w:val="clear" w:color="auto" w:fill="FFFFFF"/>
        <w:spacing w:line="588" w:lineRule="exact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“双随机、一公开”监管是市场监管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系统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全局性工作。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要充分发挥整体优势，加强统筹协调，注重内部各业务条线的职能整合，将“双随机、一公开”监管理念贯穿到市场监管执法各领域中。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按照上级要求，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各业务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和各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市场监管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所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要充分整合日常监管任务，避免重复多头布置，切实减轻基层负担。</w:t>
      </w:r>
    </w:p>
    <w:p>
      <w:pPr>
        <w:widowControl/>
        <w:shd w:val="clear" w:color="auto" w:fill="FFFFFF"/>
        <w:spacing w:line="588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（三）正确处理双随机抽查与其他专项或重点检查的关系</w:t>
      </w:r>
    </w:p>
    <w:p>
      <w:pPr>
        <w:widowControl/>
        <w:shd w:val="clear" w:color="auto" w:fill="FFFFFF"/>
        <w:spacing w:line="588" w:lineRule="exact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在发挥“双随机、一公开”监管日常性、基础性作用的同时，对涉及重点领域食品、产品质量安全和特种设备安全，以及未列入抽查事项清单的事项，按照现有方式严格监管。对通过投诉举报、转办交办发现的违法违规个案线索，要及时进行检查、处置。对通过监测途径发现的普遍性问题和突出风险，在开展有针对性的检查时，要贯彻“双随机、一公开”的理念，根据实际情况确定抽查行业、抽查区域及抽查比例，严防系统性、区域性风险。</w:t>
      </w:r>
    </w:p>
    <w:p>
      <w:pPr>
        <w:widowControl/>
        <w:shd w:val="clear" w:color="auto" w:fill="FFFFFF"/>
        <w:spacing w:line="588" w:lineRule="exact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</w:t>
      </w:r>
      <w:r>
        <w:rPr>
          <w:rFonts w:hint="eastAsia" w:ascii="宋体" w:hAnsi="宋体" w:eastAsia="仿宋_GB2312" w:cs="仿宋_GB2312"/>
          <w:b/>
          <w:bCs/>
          <w:kern w:val="0"/>
          <w:sz w:val="32"/>
          <w:szCs w:val="32"/>
        </w:rPr>
        <w:t>　</w:t>
      </w:r>
      <w:r>
        <w:rPr>
          <w:rFonts w:hint="eastAsia" w:ascii="黑体" w:hAnsi="黑体" w:eastAsia="黑体" w:cs="黑体"/>
          <w:kern w:val="0"/>
          <w:sz w:val="32"/>
          <w:szCs w:val="32"/>
        </w:rPr>
        <w:t>二、任务重点</w:t>
      </w:r>
    </w:p>
    <w:p>
      <w:pPr>
        <w:widowControl/>
        <w:shd w:val="clear" w:color="auto" w:fill="FFFFFF"/>
        <w:spacing w:line="588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依据“省级平台”做好“双随机、一公开”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抽查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检查工作</w:t>
      </w:r>
    </w:p>
    <w:p>
      <w:pPr>
        <w:widowControl/>
        <w:shd w:val="clear" w:color="auto" w:fill="FFFFFF"/>
        <w:spacing w:line="588" w:lineRule="exact"/>
        <w:ind w:firstLine="630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各单位要以</w:t>
      </w:r>
      <w:r>
        <w:rPr>
          <w:rFonts w:hint="eastAsia" w:ascii="宋体" w:hAnsi="宋体" w:eastAsia="仿宋_GB2312" w:cs="仿宋_GB2312"/>
          <w:sz w:val="32"/>
          <w:szCs w:val="32"/>
        </w:rPr>
        <w:t>国家企业信用信息公示系统（河南）（省级平台）为依托，</w:t>
      </w: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做好系统“双随机、一公开”抽查检查工作，并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纳入“互联网</w:t>
      </w:r>
      <w:r>
        <w:rPr>
          <w:rFonts w:ascii="宋体" w:hAnsi="宋体" w:eastAsia="仿宋_GB2312" w:cs="宋体"/>
          <w:kern w:val="0"/>
          <w:sz w:val="32"/>
          <w:szCs w:val="32"/>
        </w:rPr>
        <w:t>+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监管”系统运行。</w:t>
      </w:r>
      <w:r>
        <w:rPr>
          <w:rFonts w:hint="eastAsia" w:ascii="宋体" w:hAnsi="宋体" w:eastAsia="仿宋_GB2312" w:cs="仿宋_GB2312"/>
          <w:sz w:val="32"/>
          <w:szCs w:val="32"/>
        </w:rPr>
        <w:t>为</w:t>
      </w: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全市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市场监管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系统</w:t>
      </w:r>
      <w:r>
        <w:rPr>
          <w:rFonts w:hint="eastAsia" w:ascii="宋体" w:hAnsi="宋体" w:eastAsia="仿宋_GB2312" w:cs="仿宋_GB2312"/>
          <w:sz w:val="32"/>
          <w:szCs w:val="32"/>
        </w:rPr>
        <w:t>抽查检查、信息归集、结果统一集中公示、“互联网</w:t>
      </w:r>
      <w:r>
        <w:rPr>
          <w:rFonts w:ascii="宋体" w:hAnsi="宋体" w:eastAsia="仿宋_GB2312" w:cs="宋体"/>
          <w:sz w:val="32"/>
          <w:szCs w:val="32"/>
        </w:rPr>
        <w:t>+</w:t>
      </w:r>
      <w:r>
        <w:rPr>
          <w:rFonts w:hint="eastAsia" w:ascii="宋体" w:hAnsi="宋体" w:eastAsia="仿宋_GB2312" w:cs="仿宋_GB2312"/>
          <w:sz w:val="32"/>
          <w:szCs w:val="32"/>
        </w:rPr>
        <w:t>监管”和综合运用提供技术支撑。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通过信息化手段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有效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提高双随机抽查的规范化、专业化水平，畅通数据归集路径，实现全过程留痕，确保各类专业性抽查检查结果及时有效归集至市场主体名下。</w:t>
      </w:r>
    </w:p>
    <w:p>
      <w:pPr>
        <w:widowControl/>
        <w:shd w:val="clear" w:color="auto" w:fill="FFFFFF"/>
        <w:spacing w:line="588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（二）编制随机抽查事项清单</w:t>
      </w:r>
    </w:p>
    <w:p>
      <w:pPr>
        <w:spacing w:line="588" w:lineRule="exact"/>
        <w:ind w:firstLine="640" w:firstLineChars="200"/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按照市场监管职能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、职责以及权责清单的规定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，相关业务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股室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要结合工作职责，依据《市场监管总局随机抽查事项清单》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和《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河南省市场监督管理局随机抽查事项清单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》以及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法规规章和监管执法事项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法律法规规章修订情况，对本部门随机抽查事项清单进行动态调整，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要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严格按照《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河南省市场监督管理局随机抽查事项清单（第一版）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》执行，舞钢市市场监督管理局随机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抽查事项清单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，原则上按照省、市局随机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抽查事项清单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执行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。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股室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要结合职责和随机抽查事项清单，依据“双随机、一公开”抽查检查工作指引开展业务指导。</w:t>
      </w:r>
    </w:p>
    <w:p>
      <w:pPr>
        <w:spacing w:line="588" w:lineRule="exact"/>
        <w:ind w:firstLine="640" w:firstLineChars="200"/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val="en-US" w:eastAsia="zh-CN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牵头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：信用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val="en-US" w:eastAsia="zh-CN"/>
        </w:rPr>
        <w:t>监督管理股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、法规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val="en-US" w:eastAsia="zh-CN"/>
        </w:rPr>
        <w:t>股</w:t>
      </w:r>
    </w:p>
    <w:p>
      <w:pPr>
        <w:spacing w:line="588" w:lineRule="exact"/>
        <w:ind w:firstLine="640" w:firstLineChars="200"/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val="en-US" w:eastAsia="zh-CN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责任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：局机关各相关业务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val="en-US" w:eastAsia="zh-CN"/>
        </w:rPr>
        <w:t>股室</w:t>
      </w:r>
    </w:p>
    <w:p>
      <w:pPr>
        <w:spacing w:line="588" w:lineRule="exact"/>
        <w:ind w:firstLine="640" w:firstLineChars="200"/>
        <w:rPr>
          <w:rFonts w:ascii="宋体" w:hAnsi="宋体" w:eastAsia="仿宋_GB2312" w:cs="Times New Roman"/>
          <w:kern w:val="0"/>
          <w:sz w:val="32"/>
          <w:szCs w:val="32"/>
          <w:u w:val="single" w:color="FFFFFF" w:themeColor="background1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完成时限：</w:t>
      </w:r>
      <w:r>
        <w:rPr>
          <w:rFonts w:ascii="宋体" w:hAnsi="宋体" w:eastAsia="仿宋_GB2312" w:cs="宋体"/>
          <w:kern w:val="0"/>
          <w:sz w:val="32"/>
          <w:szCs w:val="32"/>
          <w:u w:val="single" w:color="FFFFFF" w:themeColor="background1"/>
        </w:rPr>
        <w:t>20</w:t>
      </w:r>
      <w:r>
        <w:rPr>
          <w:rFonts w:hint="eastAsia" w:ascii="宋体" w:hAnsi="宋体" w:eastAsia="仿宋_GB2312" w:cs="宋体"/>
          <w:kern w:val="0"/>
          <w:sz w:val="32"/>
          <w:szCs w:val="32"/>
          <w:u w:val="single" w:color="FFFFFF" w:themeColor="background1"/>
          <w:lang w:val="en-US" w:eastAsia="zh-CN"/>
        </w:rPr>
        <w:t>21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年1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val="en-US" w:eastAsia="zh-CN"/>
        </w:rPr>
        <w:t>2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月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eastAsia="zh-CN"/>
        </w:rPr>
        <w:t>底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前</w:t>
      </w:r>
    </w:p>
    <w:p>
      <w:pPr>
        <w:widowControl/>
        <w:shd w:val="clear" w:color="auto" w:fill="FFFFFF"/>
        <w:spacing w:line="588" w:lineRule="exact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随机抽查事项分为重点检查事项和一般检查事项。重点检查事项针对安全、质量、公共利益等重要领域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，抽查比例不设上限；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抽查比例高的，可以通过随机抽取的方式确定检查批次顺序。</w:t>
      </w:r>
    </w:p>
    <w:p>
      <w:pPr>
        <w:widowControl/>
        <w:shd w:val="clear" w:color="auto" w:fill="FFFFFF"/>
        <w:spacing w:line="588" w:lineRule="exact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一般检查事项针对一般监管领域。抽查比例应根据监管实际情况确定，但最低不能低于5%。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同时依据市场主体信用分类的现状，统筹确定高、中、低信用风险市场主体的抽查比例，真正做到对守信者无扰、失信者利剑高悬。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</w:p>
    <w:p>
      <w:pPr>
        <w:widowControl/>
        <w:shd w:val="clear" w:color="auto" w:fill="FFFFFF"/>
        <w:spacing w:line="588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（三）完善检查对象名录库和执法检查人员名录库</w:t>
      </w:r>
    </w:p>
    <w:p>
      <w:pPr>
        <w:widowControl/>
        <w:shd w:val="clear" w:color="auto" w:fill="FFFFFF"/>
        <w:spacing w:line="588" w:lineRule="exact"/>
        <w:ind w:firstLine="645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局机关各相关业务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室要结合监管特点和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工作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需要，统筹建立各领域统一的检查对象名录库，并实现动态更新，做到“底数清”。检查对象名录库既可以包括企业、个体工商户、农民专业合作社等市场主体，也可以包括产品、项目、行为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、行政相对人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等其它主体,并按行业、地域、信用分类等不同条件设置。检查对象名录库可依托国家企业信用信息公示系统（河南）（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省级平台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”）和各相关业务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室提出的需求，通过数据对接、导入或录入等方式建立。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市场主体名录库应包括: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检查对象名称、统一社会信用代码、经营范围、地址等。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在配合省、市局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做好检查对象名录库建设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的同时，也要做好本级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检查对象名录库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的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建设。</w:t>
      </w:r>
    </w:p>
    <w:p>
      <w:pPr>
        <w:widowControl/>
        <w:shd w:val="clear" w:color="auto" w:fill="FFFFFF"/>
        <w:spacing w:line="588" w:lineRule="exact"/>
        <w:ind w:firstLine="645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建立本辖区内市场监管部门执法检查人员名录库，包括各业务条线所有行政执法类公务员、具有行政执法资格且从事行政执法工作的人员，并按照执法资质、业务专长进行分类标注，提高工作效率。对特定领域的抽查，还可吸收检测机构、科研院所、行业专家等参与，通过提供专家咨询意见等方式辅助工作，满足专业性抽查的需要。执法检查人员名录库内容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包括:姓名、单位、职务、业务专长、执法证号等。</w:t>
      </w:r>
    </w:p>
    <w:p>
      <w:pPr>
        <w:widowControl/>
        <w:shd w:val="clear" w:color="auto" w:fill="FFFFFF"/>
        <w:spacing w:line="588" w:lineRule="exact"/>
        <w:ind w:firstLine="645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各单位要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分别对两个名录库不定期进行核查，进一步完善优化，确保名录库真实、全面、合法。</w:t>
      </w:r>
    </w:p>
    <w:p>
      <w:pPr>
        <w:widowControl/>
        <w:shd w:val="clear" w:color="auto" w:fill="FFFFFF"/>
        <w:spacing w:line="588" w:lineRule="exact"/>
        <w:ind w:firstLine="645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牵头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：信用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监督管理股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、法规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、信息中心</w:t>
      </w:r>
    </w:p>
    <w:p>
      <w:pPr>
        <w:widowControl/>
        <w:shd w:val="clear" w:color="auto" w:fill="FFFFFF"/>
        <w:spacing w:line="588" w:lineRule="exact"/>
        <w:ind w:firstLine="645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责任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：局机关各相关业务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</w:t>
      </w:r>
    </w:p>
    <w:p>
      <w:pPr>
        <w:widowControl/>
        <w:shd w:val="clear" w:color="auto" w:fill="FFFFFF"/>
        <w:spacing w:line="588" w:lineRule="exact"/>
        <w:ind w:firstLine="645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完成时限：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长期</w:t>
      </w:r>
    </w:p>
    <w:p>
      <w:pPr>
        <w:widowControl/>
        <w:shd w:val="clear" w:color="auto" w:fill="FFFFFF"/>
        <w:spacing w:line="588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（四）制定工作规范</w:t>
      </w:r>
    </w:p>
    <w:p>
      <w:pPr>
        <w:widowControl/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要严格按照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根据总局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省局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、市局的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要求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并结合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实际情况制定完善抽查工作细则和指引，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在上级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抽查工作细则和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工作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指引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的基础上，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根据实际情况制定完善抽查工作细则和指引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，创造性的开展工作，同时依据省局、市局明确的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抽取方法、检查流程、审批权限、公示程序、归档方式等对《清单》包含的各类抽查事项逐一明确检查内容、方法和工作要求。</w:t>
      </w:r>
    </w:p>
    <w:p>
      <w:pPr>
        <w:widowControl/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牵头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：信用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监督管理股</w:t>
      </w:r>
    </w:p>
    <w:p>
      <w:pPr>
        <w:widowControl/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责任单位：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局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机关各相关业务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</w:t>
      </w:r>
    </w:p>
    <w:p>
      <w:pPr>
        <w:widowControl/>
        <w:shd w:val="clear" w:color="auto" w:fill="FFFFFF"/>
        <w:spacing w:line="588" w:lineRule="exact"/>
        <w:ind w:firstLine="640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完成时限：</w:t>
      </w:r>
      <w:r>
        <w:rPr>
          <w:rFonts w:ascii="宋体" w:hAnsi="宋体" w:eastAsia="仿宋_GB2312" w:cs="宋体"/>
          <w:kern w:val="0"/>
          <w:sz w:val="32"/>
          <w:szCs w:val="32"/>
        </w:rPr>
        <w:t>20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年11月底前</w:t>
      </w:r>
    </w:p>
    <w:p>
      <w:pPr>
        <w:widowControl/>
        <w:shd w:val="clear" w:color="auto" w:fill="FFFFFF"/>
        <w:spacing w:line="588" w:lineRule="exact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黑体" w:hAnsi="黑体" w:eastAsia="黑体" w:cs="黑体"/>
          <w:kern w:val="0"/>
          <w:sz w:val="32"/>
          <w:szCs w:val="32"/>
        </w:rPr>
        <w:t>三、规范检查流程</w:t>
      </w:r>
    </w:p>
    <w:p>
      <w:pPr>
        <w:widowControl/>
        <w:shd w:val="clear" w:color="auto" w:fill="FFFFFF"/>
        <w:spacing w:line="588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（一）制定年度抽查工作计划</w:t>
      </w:r>
    </w:p>
    <w:p>
      <w:pPr>
        <w:widowControl/>
        <w:shd w:val="clear" w:color="auto" w:fill="FFFFFF"/>
        <w:spacing w:line="588" w:lineRule="exact"/>
        <w:ind w:firstLine="640" w:firstLineChars="200"/>
        <w:jc w:val="left"/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局相关业务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市场监管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所要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按照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上级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要求，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依据市局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制定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《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2021年度“双随机、一公开”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抽查工作计划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》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和抽查事项清单，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完成抽查检查工作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。年度抽查工作计划以自然年为单位制定，可根据工作实际进行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动态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调整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val="en-US" w:eastAsia="zh-CN"/>
        </w:rPr>
        <w:t>(市局制定计划中涉及的内容，不再重复制定</w:t>
      </w:r>
      <w:r>
        <w:rPr>
          <w:rFonts w:hint="eastAsia" w:ascii="宋体" w:hAnsi="宋体" w:eastAsia="仿宋_GB2312" w:cs="仿宋_GB2312"/>
          <w:kern w:val="0"/>
          <w:sz w:val="32"/>
          <w:szCs w:val="32"/>
          <w:u w:color="FFFFFF" w:themeColor="background1"/>
          <w:lang w:val="en-US" w:eastAsia="zh-CN"/>
        </w:rPr>
        <w:t>）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。年度抽查工作计划应通过公示系统向社会公示。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shd w:val="clear" w:color="auto" w:fill="FFFFFF"/>
        <w:spacing w:line="588" w:lineRule="exact"/>
        <w:ind w:firstLine="640" w:firstLineChars="200"/>
        <w:jc w:val="left"/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牵头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：信用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监督管理股</w:t>
      </w:r>
    </w:p>
    <w:p>
      <w:pPr>
        <w:widowControl/>
        <w:shd w:val="clear" w:color="auto" w:fill="FFFFFF"/>
        <w:spacing w:line="588" w:lineRule="exact"/>
        <w:ind w:firstLine="640" w:firstLineChars="200"/>
        <w:jc w:val="left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责任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：局机关各相关业务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</w:t>
      </w:r>
    </w:p>
    <w:p>
      <w:pPr>
        <w:widowControl/>
        <w:shd w:val="clear" w:color="auto" w:fill="FFFFFF"/>
        <w:spacing w:line="588" w:lineRule="exact"/>
        <w:ind w:firstLine="640" w:firstLineChars="200"/>
        <w:jc w:val="left"/>
        <w:rPr>
          <w:rFonts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完成时限：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月底前完成</w:t>
      </w:r>
    </w:p>
    <w:p>
      <w:pPr>
        <w:widowControl/>
        <w:shd w:val="clear" w:color="auto" w:fill="FFFFFF"/>
        <w:spacing w:line="588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（二）随机抽取检查对象</w:t>
      </w:r>
    </w:p>
    <w:p>
      <w:pPr>
        <w:widowControl/>
        <w:shd w:val="clear" w:color="auto" w:fill="FFFFFF"/>
        <w:spacing w:line="588" w:lineRule="exact"/>
        <w:ind w:firstLine="660"/>
        <w:rPr>
          <w:rFonts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要按照制定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的《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2021年度“双随机、一公开”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抽查工作计划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》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逐批次抽取检查对象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，并按照时间节点完成抽查检查工作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。在抽取过程中，根据法律法规规定和监管领域、执法队伍的实际情况，针对不同风险程度、信用水平的检查对象采取差异化监管措施，合理确定、动态调整抽查比例和检查对象被抽查概率，既保证必要的抽查覆盖面和监管效果，又防止检查过多和执法扰民。强化重点监管，对社会关注度高、投诉举报多，以及被列入企业经营异常名录、严重违法失信企业名单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高风险市场主体以及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存在其他严重违法记录的监管对象，要加大检查频次和监管力度。对通过投诉举报、风险预警、转办交办、数据监测发现的违法违规个案线索，要及时开展重点监管。</w:t>
      </w:r>
    </w:p>
    <w:p>
      <w:pPr>
        <w:widowControl/>
        <w:shd w:val="clear" w:color="auto" w:fill="FFFFFF"/>
        <w:spacing w:line="588" w:lineRule="exact"/>
        <w:ind w:firstLine="660"/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</w:pPr>
      <w:r>
        <w:rPr>
          <w:rFonts w:hint="eastAsia" w:ascii="仿宋_GB2312" w:eastAsia="仿宋_GB2312"/>
          <w:sz w:val="32"/>
          <w:szCs w:val="32"/>
          <w:u w:val="single" w:color="FFFFFF" w:themeColor="background1"/>
        </w:rPr>
        <w:t>对食品安全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  <w:lang w:eastAsia="zh-CN"/>
        </w:rPr>
        <w:t>、特种设备、工业品产品质量、药品（疫苗）等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</w:rPr>
        <w:t>重点领域，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  <w:lang w:eastAsia="zh-CN"/>
        </w:rPr>
        <w:t>市局将严格按照上级的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</w:rPr>
        <w:t>“双随机、一公开”监管工作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  <w:lang w:eastAsia="zh-CN"/>
        </w:rPr>
        <w:t>要求，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</w:rPr>
        <w:t>在全覆盖的基础上，随机选取食品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  <w:lang w:eastAsia="zh-CN"/>
        </w:rPr>
        <w:t>、特种设备、产品质量、药品（疫苗）等重点领域的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</w:rPr>
        <w:t>生产经营者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</w:rPr>
        <w:t>随机选派监督检查人员在本行政区域内实施异地检查、交叉互查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  <w:lang w:eastAsia="zh-CN"/>
        </w:rPr>
        <w:t>，也可以选派专业人员随机检查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</w:rPr>
        <w:t>。</w:t>
      </w:r>
      <w:r>
        <w:rPr>
          <w:rFonts w:hint="eastAsia" w:ascii="仿宋_GB2312" w:hAnsi="微软雅黑" w:eastAsia="仿宋_GB2312" w:cs="宋体"/>
          <w:kern w:val="0"/>
          <w:sz w:val="32"/>
          <w:szCs w:val="32"/>
          <w:u w:val="single" w:color="FFFFFF" w:themeColor="background1"/>
          <w:lang w:eastAsia="zh-CN"/>
        </w:rPr>
        <w:t>县级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</w:rPr>
        <w:t>市场监管部门对随机抽查事项涉及的监管领域，原则上不再部署专项检查和全覆盖式巡查。对潜在的食品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  <w:lang w:eastAsia="zh-CN"/>
        </w:rPr>
        <w:t>、药品</w:t>
      </w:r>
      <w:r>
        <w:rPr>
          <w:rFonts w:hint="eastAsia" w:ascii="仿宋_GB2312" w:eastAsia="仿宋_GB2312"/>
          <w:sz w:val="32"/>
          <w:szCs w:val="32"/>
          <w:u w:val="single" w:color="FFFFFF" w:themeColor="background1"/>
        </w:rPr>
        <w:t>安全风险隐患和食品安全抽检出现的突出食品安全问题，可组织专项检查，防止发生区域性、系统性食品安全事件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。抽取过程要确保公开、公正。</w:t>
      </w:r>
    </w:p>
    <w:p>
      <w:pPr>
        <w:widowControl/>
        <w:shd w:val="clear" w:color="auto" w:fill="FFFFFF"/>
        <w:spacing w:line="588" w:lineRule="exact"/>
        <w:ind w:firstLine="660"/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责任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：市场监管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eastAsia="zh-CN"/>
        </w:rPr>
        <w:t>各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部门</w:t>
      </w:r>
    </w:p>
    <w:p>
      <w:pPr>
        <w:widowControl/>
        <w:shd w:val="clear" w:color="auto" w:fill="FFFFFF"/>
        <w:spacing w:line="588" w:lineRule="exact"/>
        <w:ind w:firstLine="660"/>
        <w:rPr>
          <w:rFonts w:ascii="宋体" w:hAnsi="宋体" w:eastAsia="仿宋_GB2312" w:cs="Times New Roman"/>
          <w:kern w:val="0"/>
          <w:sz w:val="32"/>
          <w:szCs w:val="32"/>
          <w:u w:val="single" w:color="FFFFFF" w:themeColor="background1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完成时限：长期</w:t>
      </w:r>
    </w:p>
    <w:p>
      <w:pPr>
        <w:widowControl/>
        <w:shd w:val="clear" w:color="auto" w:fill="FFFFFF"/>
        <w:spacing w:line="588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（三）随机抽取执法检查人员</w:t>
      </w:r>
    </w:p>
    <w:p>
      <w:pPr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各单位要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负责本辖区执法检查人员的匹配工作。综合考虑所辖区域地理环境、人员配备、业务专长、保障水平等客观因素，因地制宜选择随机抽取执法检查人员的方式，每组检查人员不得少于</w:t>
      </w:r>
      <w:r>
        <w:rPr>
          <w:rFonts w:ascii="宋体" w:hAnsi="宋体" w:eastAsia="仿宋_GB2312" w:cs="宋体"/>
          <w:kern w:val="0"/>
          <w:sz w:val="32"/>
          <w:szCs w:val="32"/>
        </w:rPr>
        <w:t>2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人。在执行具体抽查事项时，本区域执法检查人员不能满足需要时，可以按照随机匹配的原则，申请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上级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给予协调解决，或与相邻区域协商解决。</w:t>
      </w:r>
    </w:p>
    <w:p>
      <w:pPr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责任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：局机关各相关业务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</w:t>
      </w:r>
    </w:p>
    <w:p>
      <w:pPr>
        <w:shd w:val="clear" w:color="auto" w:fill="FFFFFF"/>
        <w:spacing w:line="588" w:lineRule="exact"/>
        <w:ind w:firstLine="640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完成时限：长期</w:t>
      </w:r>
    </w:p>
    <w:p>
      <w:pPr>
        <w:shd w:val="clear" w:color="auto" w:fill="FFFFFF"/>
        <w:spacing w:line="588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（四）合理确定抽查检查方式</w:t>
      </w:r>
    </w:p>
    <w:p>
      <w:pPr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可以根据监管实际情况采取现场检查、书面检查、网络检查、委托专业机构检查等方式。委托专业机构实施抽查检查的，按照“谁委托、谁负责”的原则，市场监管部门应加强业务指导和监督。抽查检查中可以依法利用其他政府部门检查结论、司法机关生效文书和专业机构作出的专业结论。鼓励运用信息化手段提高抽查检查效率和发现问题的能力。</w:t>
      </w:r>
    </w:p>
    <w:p>
      <w:pPr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责任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：局机关各相关业务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</w:t>
      </w:r>
    </w:p>
    <w:p>
      <w:pPr>
        <w:shd w:val="clear" w:color="auto" w:fill="FFFFFF"/>
        <w:spacing w:line="588" w:lineRule="exact"/>
        <w:ind w:firstLine="640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完成时限：长期</w:t>
      </w:r>
    </w:p>
    <w:p>
      <w:pPr>
        <w:shd w:val="clear" w:color="auto" w:fill="FFFFFF"/>
        <w:spacing w:line="588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（五）强化抽查检查结果公示运用</w:t>
      </w:r>
    </w:p>
    <w:p>
      <w:pPr>
        <w:shd w:val="clear" w:color="auto" w:fill="FFFFFF"/>
        <w:spacing w:line="588" w:lineRule="exact"/>
        <w:ind w:firstLine="645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除依法依规不适合公开的情形外，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按照《企业信息公示暂行条例》《企业公示信息抽查暂行办法》的规定，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在本次抽查任务完成后</w:t>
      </w:r>
      <w:r>
        <w:rPr>
          <w:rFonts w:ascii="宋体" w:hAnsi="宋体" w:eastAsia="仿宋_GB2312" w:cs="宋体"/>
          <w:kern w:val="0"/>
          <w:sz w:val="32"/>
          <w:szCs w:val="32"/>
        </w:rPr>
        <w:t>20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个工作日内，将抽查检查结果通过公示系统进行公示，接受社会监督。积极向政府部门推送行政处罚、经营异常名录和严重违法失信企业名单等相关信息，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按照《失信企业协同监管和联合惩戒合作备忘录》及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上级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有关规定,在政府采购、工程招投标、国有土地出让、授予荣誉称号等工作中实施联合惩戒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，形成有力震慑，增强市场主体守法的自觉性。</w:t>
      </w:r>
    </w:p>
    <w:p>
      <w:pPr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对双随机抽查中发现的各类问题，要按照“谁管辖、谁负责”的原则做好后续监管的衔接。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对需要列入经营异常名录的要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eastAsia="zh-CN"/>
        </w:rPr>
        <w:t>依据《企业经营异常名录管理暂行办法》的规定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及时列入</w:t>
      </w:r>
      <w:r>
        <w:rPr>
          <w:rFonts w:hint="eastAsia" w:ascii="宋体" w:hAnsi="宋体" w:eastAsia="仿宋_GB2312" w:cs="仿宋_GB2312"/>
          <w:kern w:val="0"/>
          <w:sz w:val="32"/>
          <w:szCs w:val="32"/>
          <w:u w:color="FFFFFF" w:themeColor="background1"/>
        </w:rPr>
        <w:t>，对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发现的其它违法行为要依法查处，对涉嫌犯罪的要及时移送司法机关，防止监管脱节。</w:t>
      </w:r>
    </w:p>
    <w:p>
      <w:pPr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责任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：市场监管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</w:p>
    <w:p>
      <w:pPr>
        <w:shd w:val="clear" w:color="auto" w:fill="FFFFFF"/>
        <w:spacing w:line="588" w:lineRule="exact"/>
        <w:ind w:firstLine="640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完成时限：长期</w:t>
      </w:r>
    </w:p>
    <w:p>
      <w:pPr>
        <w:widowControl/>
        <w:shd w:val="clear" w:color="auto" w:fill="FFFFFF"/>
        <w:spacing w:line="588" w:lineRule="exact"/>
        <w:rPr>
          <w:rFonts w:ascii="宋体" w:hAnsi="宋体" w:eastAsia="仿宋_GB2312" w:cs="Times New Roman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（六）积极开展市场监管领域部门联合“双随机、一公开”监管</w:t>
      </w:r>
    </w:p>
    <w:p>
      <w:pPr>
        <w:widowControl/>
        <w:shd w:val="clear" w:color="auto" w:fill="FFFFFF"/>
        <w:spacing w:line="588" w:lineRule="exact"/>
        <w:ind w:firstLine="645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各单位要按照《舞钢市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人民政府关于在市场监管领域全面推行部门联合“双随机、一公开”监管的实施意见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》（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舞政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〔20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〕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号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要求，结合本地实际，在地方政府统一领导下，发挥牵头作用，积极与市场监管领域各相关部门开展部门联合“双随机、一公开”监管。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需要部门联合抽查的,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在制定联合抽查检查计划的基础上，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制定部门联合抽查实施方案,明确抽查事项、参与联合抽查的部门、抽查时间、抽查比例等内容。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实现“进一次门，查多项事”，避免多头执法、重复检查，切实减轻企业负担。</w:t>
      </w:r>
    </w:p>
    <w:p>
      <w:pPr>
        <w:widowControl/>
        <w:shd w:val="clear" w:color="auto" w:fill="FFFFFF"/>
        <w:spacing w:line="588" w:lineRule="exact"/>
        <w:ind w:firstLine="645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责任单位：各相关业务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</w:t>
      </w:r>
    </w:p>
    <w:p>
      <w:pPr>
        <w:widowControl/>
        <w:shd w:val="clear" w:color="auto" w:fill="FFFFFF"/>
        <w:spacing w:line="588" w:lineRule="exact"/>
        <w:ind w:firstLine="645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完成时限：长期</w:t>
      </w:r>
    </w:p>
    <w:p>
      <w:pPr>
        <w:widowControl/>
        <w:numPr>
          <w:ilvl w:val="0"/>
          <w:numId w:val="1"/>
        </w:numPr>
        <w:shd w:val="clear" w:color="auto" w:fill="FFFFFF"/>
        <w:spacing w:line="588" w:lineRule="exact"/>
        <w:ind w:left="640" w:leftChars="0" w:firstLine="0" w:firstLineChars="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厘清责任边界</w:t>
      </w:r>
    </w:p>
    <w:p>
      <w:pPr>
        <w:widowControl/>
        <w:shd w:val="clear" w:color="auto" w:fill="FFFFFF"/>
        <w:spacing w:line="588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（一）基本原则</w:t>
      </w:r>
    </w:p>
    <w:p>
      <w:pPr>
        <w:widowControl/>
        <w:shd w:val="clear" w:color="auto" w:fill="FFFFFF"/>
        <w:spacing w:line="588" w:lineRule="exact"/>
        <w:jc w:val="left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要进一步增强责任意识。坚持“尽职照单免责，失职照单问责”原则，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执法检查人员凡严格依据抽查事项清单和相关工作制度开展“双随机、一公开”监管，检查对象未被抽到或抽到时未查出问题，只要执法检查人员不存在滥用职权、徇私舞弊等情形的，免予追究相关责任。</w:t>
      </w:r>
    </w:p>
    <w:p>
      <w:pPr>
        <w:widowControl/>
        <w:shd w:val="clear" w:color="auto" w:fill="FFFFFF"/>
        <w:spacing w:line="588" w:lineRule="exact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（二）追责情形</w:t>
      </w:r>
    </w:p>
    <w:p>
      <w:pPr>
        <w:widowControl/>
        <w:shd w:val="clear" w:color="auto" w:fill="FFFFFF"/>
        <w:spacing w:line="588" w:lineRule="exact"/>
        <w:rPr>
          <w:rFonts w:ascii="宋体" w:hAnsi="宋体" w:eastAsia="仿宋_GB2312" w:cs="Times New Roman"/>
          <w:kern w:val="0"/>
          <w:sz w:val="32"/>
          <w:szCs w:val="32"/>
          <w:u w:val="single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执法检查人员在“双随机、一公开”监管中有下列情形之一的，应当承担行政责任：未按要求进行抽查检查</w:t>
      </w:r>
      <w:r>
        <w:rPr>
          <w:rFonts w:ascii="宋体" w:hAnsi="宋体" w:eastAsia="仿宋_GB2312" w:cs="宋体"/>
          <w:kern w:val="0"/>
          <w:sz w:val="32"/>
          <w:szCs w:val="32"/>
        </w:rPr>
        <w:t>,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造成不良后果的；无特殊情况，未经批准未依法及时公示抽查检查结果，造成不良后果的；对抽查检查中发现的涉嫌犯罪案件，未依法移送公安机关处理的；不执行或者拖延执行抽查任务的；其他依法依规应当追究责任的。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责任单位：驻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eastAsia="zh-CN"/>
        </w:rPr>
        <w:t>市政协机关纪检监察组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）</w:t>
      </w:r>
    </w:p>
    <w:p>
      <w:pPr>
        <w:widowControl/>
        <w:shd w:val="clear" w:color="auto" w:fill="FFFFFF"/>
        <w:spacing w:line="588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免责情形</w:t>
      </w:r>
    </w:p>
    <w:p>
      <w:pPr>
        <w:widowControl/>
        <w:numPr>
          <w:ilvl w:val="0"/>
          <w:numId w:val="0"/>
        </w:numPr>
        <w:shd w:val="clear" w:color="auto" w:fill="FFFFFF"/>
        <w:spacing w:line="588" w:lineRule="exact"/>
        <w:ind w:firstLine="640" w:firstLineChars="20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执法检查人员在“双随机、一公开”监管中存在下列情形之一、相关市场主体出现问题的，可以免除行政责任：按照法律法规规章规定和抽查工作计划安排，已履行抽查检查职责的；因现有专业技术手段限制不能发现所存在问题的；检查对象发生事故，性质上与执法检查人员的抽查检查不存在因果关系的；因被委托进行检查的专业机构出具虚假报告等，导致错误判定或者处理的；其他依法依规不应当追究责任的。</w:t>
      </w:r>
    </w:p>
    <w:p>
      <w:pPr>
        <w:widowControl/>
        <w:numPr>
          <w:ilvl w:val="0"/>
          <w:numId w:val="0"/>
        </w:numPr>
        <w:shd w:val="clear" w:color="auto" w:fill="FFFFFF"/>
        <w:spacing w:line="588" w:lineRule="exact"/>
        <w:ind w:firstLine="640" w:firstLineChars="200"/>
        <w:rPr>
          <w:rFonts w:ascii="宋体" w:hAnsi="宋体" w:eastAsia="仿宋_GB2312" w:cs="Times New Roman"/>
          <w:kern w:val="0"/>
          <w:sz w:val="32"/>
          <w:szCs w:val="32"/>
          <w:u w:val="single" w:color="FFFFFF" w:themeColor="background1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责任单位：驻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eastAsia="zh-CN"/>
        </w:rPr>
        <w:t>市政协机关纪检监察组</w:t>
      </w:r>
    </w:p>
    <w:p>
      <w:pPr>
        <w:widowControl/>
        <w:shd w:val="clear" w:color="auto" w:fill="FFFFFF"/>
        <w:spacing w:line="588" w:lineRule="exact"/>
        <w:ind w:firstLine="640" w:firstLineChars="200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五、组织实施</w:t>
      </w:r>
    </w:p>
    <w:p>
      <w:pPr>
        <w:widowControl/>
        <w:shd w:val="clear" w:color="auto" w:fill="FFFFFF"/>
        <w:spacing w:line="588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（一）明确职责分工</w:t>
      </w:r>
    </w:p>
    <w:p>
      <w:pPr>
        <w:widowControl/>
        <w:shd w:val="clear" w:color="auto" w:fill="FFFFFF"/>
        <w:spacing w:line="588" w:lineRule="exact"/>
        <w:ind w:firstLine="63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局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机关各相关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股室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在积极与市局相关业务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科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室沟通的基础上，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根据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科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室职责和随机抽查事项清单，按照“谁主管、谁发起、谁主导、谁组织”的原则做好职责范围内双随机抽查检查工作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，同时市局统一开展的“双随机、一公开”抽查检查工作，由局对口相关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股室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负责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；信息中心负责双随机抽查系统的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维护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和保障工作。</w:t>
      </w:r>
    </w:p>
    <w:p>
      <w:pPr>
        <w:widowControl/>
        <w:shd w:val="clear" w:color="auto" w:fill="FFFFFF"/>
        <w:spacing w:line="588" w:lineRule="exact"/>
        <w:ind w:firstLine="630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牵头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局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机关各相关业务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室</w:t>
      </w:r>
    </w:p>
    <w:p>
      <w:pPr>
        <w:widowControl/>
        <w:shd w:val="clear" w:color="auto" w:fill="FFFFFF"/>
        <w:spacing w:line="588" w:lineRule="exact"/>
        <w:ind w:firstLine="643" w:firstLineChars="20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（二）加强组织保障</w:t>
      </w:r>
    </w:p>
    <w:p>
      <w:pPr>
        <w:widowControl/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各单位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要扎实推进“双随机、一公开”监管工作，健全领导机构和人员设置，加强经费保障，以统一实施“双随机、一公开”监管为契机，推动市场监管部门职能整合后的“化学融合”。</w:t>
      </w:r>
    </w:p>
    <w:p>
      <w:pPr>
        <w:widowControl/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牵头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：信用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监督管理股</w:t>
      </w:r>
    </w:p>
    <w:p>
      <w:pPr>
        <w:widowControl/>
        <w:shd w:val="clear" w:color="auto" w:fill="FFFFFF"/>
        <w:spacing w:line="588" w:lineRule="exact"/>
        <w:ind w:firstLine="640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责任单位：人事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、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科技和财务股</w:t>
      </w:r>
    </w:p>
    <w:p>
      <w:pPr>
        <w:widowControl/>
        <w:shd w:val="clear" w:color="auto" w:fill="FFFFFF"/>
        <w:spacing w:line="588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（三）做好宣传培训</w:t>
      </w:r>
    </w:p>
    <w:p>
      <w:pPr>
        <w:widowControl/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加强舆论宣传，通过新闻报道、专题片、访谈等多种形式主动向社会展示市场监管部门公正、廉洁、依法、审慎监管的良好形象，加快形成企业诚信自律、社会公众监督的良好氛围。要加强对基层和一线执法检查人员的培训，提升监管执法能力。</w:t>
      </w:r>
    </w:p>
    <w:p>
      <w:pPr>
        <w:widowControl/>
        <w:shd w:val="clear" w:color="auto" w:fill="FFFFFF"/>
        <w:spacing w:line="588" w:lineRule="exact"/>
        <w:ind w:firstLine="640"/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牵头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：信用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监督管理股</w:t>
      </w:r>
    </w:p>
    <w:p>
      <w:pPr>
        <w:widowControl/>
        <w:shd w:val="clear" w:color="auto" w:fill="FFFFFF"/>
        <w:spacing w:line="588" w:lineRule="exact"/>
        <w:ind w:firstLine="640"/>
        <w:rPr>
          <w:rFonts w:ascii="宋体" w:hAnsi="宋体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责任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：人事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股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、新闻宣传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>部门</w:t>
      </w:r>
    </w:p>
    <w:p>
      <w:pPr>
        <w:widowControl/>
        <w:shd w:val="clear" w:color="auto" w:fill="FFFFFF"/>
        <w:spacing w:line="588" w:lineRule="exact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</w:rPr>
        <w:t>　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（四）强化考核督查</w:t>
      </w:r>
    </w:p>
    <w:p>
      <w:pPr>
        <w:widowControl/>
        <w:shd w:val="clear" w:color="auto" w:fill="FFFFFF"/>
        <w:spacing w:line="588" w:lineRule="exact"/>
        <w:rPr>
          <w:rFonts w:ascii="宋体" w:hAnsi="宋体" w:eastAsia="仿宋_GB2312" w:cs="Times New Roman"/>
          <w:kern w:val="0"/>
          <w:sz w:val="32"/>
          <w:szCs w:val="32"/>
          <w:u w:val="single" w:color="FFFFFF" w:themeColor="background1"/>
        </w:rPr>
      </w:pP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　　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eastAsia="zh-CN"/>
        </w:rPr>
        <w:t>上级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市场监管部门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eastAsia="zh-CN"/>
        </w:rPr>
        <w:t>会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对下级市场监管部门开展“双随机、一公开”监管工作的指导、督促和检查。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eastAsia="zh-CN"/>
        </w:rPr>
        <w:t>会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通过督查检查、网络监测、抽样复查等方式进行考核，必要时可以将相关情况通报给当地人民政府。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  <w:lang w:eastAsia="zh-CN"/>
        </w:rPr>
        <w:t>按照省局的要求，市局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 w:color="FFFFFF" w:themeColor="background1"/>
        </w:rPr>
        <w:t>将不定期对各地市场监管部门开展“双随机、一公开”监管工作的情况进行检查。</w:t>
      </w:r>
    </w:p>
    <w:p>
      <w:pPr>
        <w:spacing w:line="588" w:lineRule="exact"/>
        <w:ind w:firstLine="640" w:firstLineChars="200"/>
        <w:rPr>
          <w:rFonts w:ascii="宋体" w:hAnsi="宋体" w:eastAsia="仿宋_GB2312" w:cs="Times New Roman"/>
          <w:sz w:val="32"/>
          <w:szCs w:val="32"/>
          <w:u w:val="single"/>
        </w:rPr>
      </w:pPr>
    </w:p>
    <w:p>
      <w:pPr>
        <w:widowControl/>
        <w:shd w:val="clear" w:color="auto" w:fill="FFFFFF"/>
        <w:spacing w:line="588" w:lineRule="exact"/>
        <w:ind w:left="1598" w:leftChars="304" w:hanging="960" w:hangingChars="300"/>
        <w:rPr>
          <w:rFonts w:hint="eastAsia" w:ascii="宋体" w:hAnsi="宋体" w:eastAsia="仿宋_GB2312" w:cs="仿宋_GB2312"/>
          <w:kern w:val="0"/>
          <w:sz w:val="32"/>
          <w:szCs w:val="32"/>
        </w:rPr>
        <w:sectPr>
          <w:footerReference r:id="rId3" w:type="default"/>
          <w:pgSz w:w="11905" w:h="16838"/>
          <w:pgMar w:top="1984" w:right="1531" w:bottom="1814" w:left="1531" w:header="851" w:footer="1417" w:gutter="0"/>
          <w:cols w:space="0" w:num="1"/>
          <w:docGrid w:linePitch="312" w:charSpace="0"/>
        </w:sectPr>
      </w:pP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附件：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仿宋_GB2312" w:cs="仿宋_GB2312"/>
          <w:kern w:val="0"/>
          <w:sz w:val="32"/>
          <w:szCs w:val="32"/>
          <w:lang w:eastAsia="zh-CN"/>
        </w:rPr>
        <w:t>市场监督管理局</w:t>
      </w:r>
      <w:r>
        <w:rPr>
          <w:rFonts w:hint="eastAsia" w:ascii="宋体" w:hAnsi="宋体" w:eastAsia="仿宋_GB2312" w:cs="仿宋_GB2312"/>
          <w:kern w:val="0"/>
          <w:sz w:val="32"/>
          <w:szCs w:val="32"/>
        </w:rPr>
        <w:t>“双随机、一公开”监管信息统计表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ascii="方正大标宋简体" w:hAnsi="方正大标宋简体" w:eastAsia="方正大标宋简体" w:cs="Times New Roman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u w:val="none"/>
          <w:lang w:val="en-US" w:eastAsia="zh-CN"/>
        </w:rPr>
        <w:t xml:space="preserve">  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u w:val="single"/>
          <w:lang w:val="en-US" w:eastAsia="zh-CN"/>
        </w:rPr>
        <w:t xml:space="preserve">         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eastAsia="zh-CN"/>
        </w:rPr>
        <w:t>市场监督管理局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“双随机、一公开”监管信息统计表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填报单位（盖章）：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填报时间：</w:t>
      </w:r>
      <w:r>
        <w:rPr>
          <w:rFonts w:ascii="仿宋_GB2312" w:hAnsi="仿宋_GB2312" w:eastAsia="仿宋_GB2312" w:cs="Times New Roman"/>
          <w:sz w:val="28"/>
          <w:szCs w:val="28"/>
        </w:rPr>
        <w:t> 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8"/>
        <w:tblW w:w="13135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5"/>
        <w:gridCol w:w="3248"/>
        <w:gridCol w:w="1227"/>
        <w:gridCol w:w="1282"/>
        <w:gridCol w:w="777"/>
        <w:gridCol w:w="789"/>
        <w:gridCol w:w="1544"/>
        <w:gridCol w:w="1668"/>
        <w:gridCol w:w="140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1195" w:type="dxa"/>
            <w:vMerge w:val="restart"/>
            <w:tcBorders>
              <w:top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区分</w:t>
            </w:r>
          </w:p>
        </w:tc>
        <w:tc>
          <w:tcPr>
            <w:tcW w:w="324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类别</w:t>
            </w:r>
          </w:p>
        </w:tc>
        <w:tc>
          <w:tcPr>
            <w:tcW w:w="12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抽查批次</w:t>
            </w:r>
          </w:p>
        </w:tc>
        <w:tc>
          <w:tcPr>
            <w:tcW w:w="128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抽查数量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（户）</w:t>
            </w:r>
          </w:p>
        </w:tc>
        <w:tc>
          <w:tcPr>
            <w:tcW w:w="311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抽查结果公示数量（户）</w:t>
            </w:r>
          </w:p>
        </w:tc>
        <w:tc>
          <w:tcPr>
            <w:tcW w:w="1668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双随机抽查案件数（件）</w:t>
            </w:r>
          </w:p>
        </w:tc>
        <w:tc>
          <w:tcPr>
            <w:tcW w:w="14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案件处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罚金额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  <w:jc w:val="center"/>
        </w:trPr>
        <w:tc>
          <w:tcPr>
            <w:tcW w:w="1195" w:type="dxa"/>
            <w:vMerge w:val="continue"/>
            <w:tcBorders>
              <w:top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324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2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28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公示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系统</w:t>
            </w:r>
          </w:p>
        </w:tc>
        <w:tc>
          <w:tcPr>
            <w:tcW w:w="7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系统</w:t>
            </w:r>
          </w:p>
        </w:tc>
        <w:tc>
          <w:tcPr>
            <w:tcW w:w="15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网站</w:t>
            </w:r>
          </w:p>
        </w:tc>
        <w:tc>
          <w:tcPr>
            <w:tcW w:w="1668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4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1195" w:type="dxa"/>
            <w:vMerge w:val="restart"/>
            <w:tcBorders>
              <w:top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系统内双随机抽查</w:t>
            </w:r>
          </w:p>
        </w:tc>
        <w:tc>
          <w:tcPr>
            <w:tcW w:w="3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省辖市局抽查信息</w:t>
            </w:r>
          </w:p>
        </w:tc>
        <w:tc>
          <w:tcPr>
            <w:tcW w:w="12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195" w:type="dxa"/>
            <w:vMerge w:val="continue"/>
            <w:tcBorders>
              <w:top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3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）局抽查信息</w:t>
            </w:r>
          </w:p>
        </w:tc>
        <w:tc>
          <w:tcPr>
            <w:tcW w:w="12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  <w:jc w:val="center"/>
        </w:trPr>
        <w:tc>
          <w:tcPr>
            <w:tcW w:w="1195" w:type="dxa"/>
            <w:vMerge w:val="restart"/>
            <w:tcBorders>
              <w:top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部门联合抽查</w:t>
            </w:r>
          </w:p>
        </w:tc>
        <w:tc>
          <w:tcPr>
            <w:tcW w:w="3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省辖市级有关部门联合抽查信息</w:t>
            </w:r>
          </w:p>
        </w:tc>
        <w:tc>
          <w:tcPr>
            <w:tcW w:w="12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1195" w:type="dxa"/>
            <w:vMerge w:val="continue"/>
            <w:tcBorders>
              <w:top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3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）有关部门联合抽查信息</w:t>
            </w:r>
          </w:p>
        </w:tc>
        <w:tc>
          <w:tcPr>
            <w:tcW w:w="12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195" w:type="dxa"/>
            <w:tcBorders>
              <w:top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</w:t>
            </w:r>
          </w:p>
        </w:tc>
        <w:tc>
          <w:tcPr>
            <w:tcW w:w="11940" w:type="dxa"/>
            <w:gridSpan w:val="8"/>
            <w:tcBorders>
              <w:top w:val="outset" w:color="000000" w:sz="6" w:space="0"/>
              <w:left w:val="outset" w:color="000000" w:sz="6" w:space="0"/>
              <w:bottom w:val="outset" w:color="000000" w:sz="6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为防止重复统计，抽查批次、抽查数量和公示数量由联合抽查发起部门统计，案件数、罚没金额由参与部门分别统计。</w:t>
            </w:r>
          </w:p>
          <w:p>
            <w:pPr>
              <w:adjustRightInd w:val="0"/>
              <w:snapToGrid w:val="0"/>
              <w:spacing w:line="320" w:lineRule="exact"/>
              <w:rPr>
                <w:rFonts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涉及市场主体的抽查检查结果必须归集至公示系统，其他抽查检查结果可通过专业抽查系统或部门网站等渠道进行公示。</w:t>
            </w:r>
          </w:p>
        </w:tc>
      </w:tr>
    </w:tbl>
    <w:p>
      <w:pPr>
        <w:spacing w:line="588" w:lineRule="exact"/>
        <w:ind w:firstLine="1293" w:firstLineChars="462"/>
        <w:rPr>
          <w:rFonts w:hint="eastAsia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经办人（签字）：</w:t>
      </w:r>
      <w:r>
        <w:rPr>
          <w:rFonts w:ascii="楷体_GB2312" w:hAnsi="楷体_GB2312" w:eastAsia="楷体_GB2312" w:cs="Times New Roman"/>
          <w:sz w:val="28"/>
          <w:szCs w:val="28"/>
        </w:rPr>
        <w:t>     </w:t>
      </w:r>
      <w:r>
        <w:rPr>
          <w:rFonts w:ascii="楷体_GB2312" w:hAnsi="楷体_GB2312" w:eastAsia="楷体_GB2312" w:cs="楷体_GB2312"/>
          <w:sz w:val="28"/>
          <w:szCs w:val="28"/>
        </w:rPr>
        <w:t xml:space="preserve">         </w:t>
      </w:r>
      <w:r>
        <w:rPr>
          <w:rFonts w:hint="eastAsia" w:ascii="楷体_GB2312" w:hAnsi="楷体_GB2312" w:eastAsia="楷体_GB2312" w:cs="楷体_GB2312"/>
          <w:sz w:val="28"/>
          <w:szCs w:val="28"/>
        </w:rPr>
        <w:t>联系电话</w:t>
      </w:r>
      <w:r>
        <w:rPr>
          <w:rFonts w:ascii="楷体_GB2312" w:hAnsi="楷体_GB2312" w:eastAsia="楷体_GB2312" w:cs="楷体_GB2312"/>
          <w:sz w:val="28"/>
          <w:szCs w:val="28"/>
        </w:rPr>
        <w:t>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sectPr>
      <w:headerReference r:id="rId4" w:type="default"/>
      <w:footerReference r:id="rId5" w:type="default"/>
      <w:pgSz w:w="16838" w:h="11906" w:orient="landscape"/>
      <w:pgMar w:top="1587" w:right="2098" w:bottom="1474" w:left="1984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27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3Vi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27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17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fmucmMMBAACP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17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4D8991"/>
    <w:multiLevelType w:val="singleLevel"/>
    <w:tmpl w:val="F14D8991"/>
    <w:lvl w:ilvl="0" w:tentative="0">
      <w:start w:val="4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04296"/>
    <w:rsid w:val="03E80147"/>
    <w:rsid w:val="081A083E"/>
    <w:rsid w:val="0847167B"/>
    <w:rsid w:val="09486193"/>
    <w:rsid w:val="0B7E0763"/>
    <w:rsid w:val="0CA409B3"/>
    <w:rsid w:val="0F00474A"/>
    <w:rsid w:val="0F7A3F16"/>
    <w:rsid w:val="11B62559"/>
    <w:rsid w:val="12501135"/>
    <w:rsid w:val="130D37BC"/>
    <w:rsid w:val="133D224E"/>
    <w:rsid w:val="147674E2"/>
    <w:rsid w:val="15E933F1"/>
    <w:rsid w:val="17FF59F5"/>
    <w:rsid w:val="186F2470"/>
    <w:rsid w:val="18E343A6"/>
    <w:rsid w:val="1C5A3DC7"/>
    <w:rsid w:val="1D67114C"/>
    <w:rsid w:val="2014022B"/>
    <w:rsid w:val="20286CB1"/>
    <w:rsid w:val="210D1E77"/>
    <w:rsid w:val="21445B5A"/>
    <w:rsid w:val="241F25C3"/>
    <w:rsid w:val="27C66CE6"/>
    <w:rsid w:val="28112C26"/>
    <w:rsid w:val="2D5819DD"/>
    <w:rsid w:val="2F741A16"/>
    <w:rsid w:val="33172D2D"/>
    <w:rsid w:val="34B40B74"/>
    <w:rsid w:val="366F686C"/>
    <w:rsid w:val="37DC4911"/>
    <w:rsid w:val="397F3A0C"/>
    <w:rsid w:val="3A1A41F8"/>
    <w:rsid w:val="3DD36BD5"/>
    <w:rsid w:val="3E2A1BDB"/>
    <w:rsid w:val="42207FBF"/>
    <w:rsid w:val="430432FB"/>
    <w:rsid w:val="436C4D48"/>
    <w:rsid w:val="44212A56"/>
    <w:rsid w:val="4BAE1127"/>
    <w:rsid w:val="4CA73B26"/>
    <w:rsid w:val="4DA90A0A"/>
    <w:rsid w:val="4E1523E1"/>
    <w:rsid w:val="4FDB6FD4"/>
    <w:rsid w:val="505723DF"/>
    <w:rsid w:val="51992268"/>
    <w:rsid w:val="54FD4C94"/>
    <w:rsid w:val="55003B9C"/>
    <w:rsid w:val="55E352A6"/>
    <w:rsid w:val="56DD21F3"/>
    <w:rsid w:val="5A502069"/>
    <w:rsid w:val="5C607D71"/>
    <w:rsid w:val="5E250F5A"/>
    <w:rsid w:val="5E5B2CE4"/>
    <w:rsid w:val="5E6B6EF0"/>
    <w:rsid w:val="62412EC5"/>
    <w:rsid w:val="63201ECD"/>
    <w:rsid w:val="63314BB7"/>
    <w:rsid w:val="645E2442"/>
    <w:rsid w:val="66A506CB"/>
    <w:rsid w:val="68925AB7"/>
    <w:rsid w:val="6A8E17FD"/>
    <w:rsid w:val="6B060258"/>
    <w:rsid w:val="6B3A3741"/>
    <w:rsid w:val="6BA335FA"/>
    <w:rsid w:val="6BF760F6"/>
    <w:rsid w:val="6C810C06"/>
    <w:rsid w:val="71433405"/>
    <w:rsid w:val="72245D30"/>
    <w:rsid w:val="72685EA0"/>
    <w:rsid w:val="72CF10C9"/>
    <w:rsid w:val="754C0A9A"/>
    <w:rsid w:val="75737DA9"/>
    <w:rsid w:val="786B6AD9"/>
    <w:rsid w:val="7D0B54E3"/>
    <w:rsid w:val="7DEF168A"/>
    <w:rsid w:val="7E3050E2"/>
    <w:rsid w:val="7E6B30F7"/>
    <w:rsid w:val="7FA745D9"/>
    <w:rsid w:val="7FCB1A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basedOn w:val="1"/>
    <w:qFormat/>
    <w:uiPriority w:val="0"/>
    <w:rPr>
      <w:rFonts w:ascii="宋体" w:hAnsi="宋体" w:eastAsia="宋体" w:cs="宋体"/>
      <w:szCs w:val="32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/>
      <w:sz w:val="24"/>
      <w:szCs w:val="24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2018-06-11T16:48:00Z</dcterms:created>
  <dc:creator>Mio</dc:creator>
  <cp:lastModifiedBy>阿卓</cp:lastModifiedBy>
  <cp:lastPrinted>2021-04-25T09:26:04Z</cp:lastPrinted>
  <dcterms:modified xsi:type="dcterms:W3CDTF">2021-04-25T09:27:40Z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ED0D13ED8AFB4D68B777F1067CFD8C52</vt:lpwstr>
  </property>
  <property fmtid="{D5CDD505-2E9C-101B-9397-08002B2CF9AE}" pid="4" name="KSOSaveFontToCloudKey">
    <vt:lpwstr>500083451_cloud</vt:lpwstr>
  </property>
</Properties>
</file>