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  <w:t>河南省大中型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灌区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  <w:t>田岗灌区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年度工作报告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>
      <w:pPr>
        <w:ind w:firstLine="560" w:firstLineChars="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田岗灌区位于河南省舞钢市北部平原，地处北纬33°18′00″--33°25′25″,东径113°21′27″--113°40′51″之间，地形西南高东北低，属淮河流域，是洪河上游山丘区山前平原地区，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年取水总量400万立方米，农业年取水许可量400万</w:t>
      </w:r>
      <w:r>
        <w:rPr>
          <w:rFonts w:hint="eastAsia" w:ascii="仿宋" w:hAnsi="仿宋" w:eastAsia="仿宋" w:cs="仿宋"/>
          <w:sz w:val="32"/>
          <w:szCs w:val="32"/>
        </w:rPr>
        <w:t>立方米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灌区涉及枣林、武功、铁山、八台四个乡（镇、办事处）58个行政村，人口7.6万人，耕地11.7万亩，设计灌溉面积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8.91</w:t>
      </w:r>
      <w:r>
        <w:rPr>
          <w:rFonts w:hint="eastAsia" w:ascii="仿宋" w:hAnsi="仿宋" w:eastAsia="仿宋" w:cs="仿宋"/>
          <w:sz w:val="32"/>
          <w:szCs w:val="32"/>
        </w:rPr>
        <w:t>万亩，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灌溉面积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8.91</w:t>
      </w:r>
      <w:r>
        <w:rPr>
          <w:rFonts w:hint="eastAsia" w:ascii="仿宋" w:hAnsi="仿宋" w:eastAsia="仿宋" w:cs="仿宋"/>
          <w:sz w:val="32"/>
          <w:szCs w:val="32"/>
        </w:rPr>
        <w:t>万亩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是河南省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重点中型灌区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之一。</w:t>
      </w:r>
    </w:p>
    <w:p>
      <w:pPr>
        <w:spacing w:line="572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田岗灌区在“75.8”特大洪水冲毁后，2005年8月水利部农发办【2005】10号文件批复建设，2008年通水运行，</w:t>
      </w:r>
      <w:r>
        <w:rPr>
          <w:rFonts w:hint="eastAsia" w:eastAsia="仿宋_GB2312" w:cs="仿宋_GB2312"/>
          <w:sz w:val="32"/>
          <w:szCs w:val="32"/>
          <w:lang w:eastAsia="zh-CN"/>
        </w:rPr>
        <w:t>并相继进行了田间配套工程建设。</w:t>
      </w:r>
      <w:r>
        <w:rPr>
          <w:rFonts w:hint="eastAsia" w:eastAsia="仿宋_GB2312"/>
          <w:sz w:val="32"/>
          <w:szCs w:val="32"/>
          <w:lang w:val="en-US" w:eastAsia="zh-CN"/>
        </w:rPr>
        <w:t>渠首</w:t>
      </w:r>
      <w:r>
        <w:rPr>
          <w:rFonts w:hint="eastAsia" w:eastAsia="仿宋_GB2312"/>
          <w:sz w:val="32"/>
          <w:szCs w:val="32"/>
          <w:lang w:eastAsia="zh-CN"/>
        </w:rPr>
        <w:t>设计</w:t>
      </w:r>
      <w:r>
        <w:rPr>
          <w:rFonts w:hint="eastAsia" w:eastAsia="仿宋_GB2312"/>
          <w:sz w:val="32"/>
          <w:szCs w:val="32"/>
          <w:lang w:val="en-US" w:eastAsia="zh-CN"/>
        </w:rPr>
        <w:t>引水</w:t>
      </w:r>
      <w:r>
        <w:rPr>
          <w:rFonts w:hint="eastAsia" w:eastAsia="仿宋_GB2312"/>
          <w:sz w:val="32"/>
          <w:szCs w:val="32"/>
          <w:lang w:eastAsia="zh-CN"/>
        </w:rPr>
        <w:t>流量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  <w:lang w:eastAsia="zh-CN"/>
        </w:rPr>
        <w:t>立方米每秒，有</w:t>
      </w:r>
      <w:r>
        <w:rPr>
          <w:rFonts w:hint="eastAsia" w:eastAsia="仿宋_GB2312"/>
          <w:sz w:val="32"/>
          <w:szCs w:val="32"/>
          <w:lang w:val="en-US" w:eastAsia="zh-CN"/>
        </w:rPr>
        <w:t>东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西</w:t>
      </w:r>
      <w:r>
        <w:rPr>
          <w:rFonts w:hint="eastAsia" w:eastAsia="仿宋_GB2312"/>
          <w:sz w:val="32"/>
          <w:szCs w:val="32"/>
          <w:lang w:eastAsia="zh-CN"/>
        </w:rPr>
        <w:t>2条干渠，总长</w:t>
      </w:r>
      <w:r>
        <w:rPr>
          <w:rFonts w:hint="eastAsia" w:eastAsia="仿宋_GB2312"/>
          <w:sz w:val="32"/>
          <w:szCs w:val="32"/>
          <w:lang w:val="en-US" w:eastAsia="zh-CN"/>
        </w:rPr>
        <w:t>15.96</w:t>
      </w:r>
      <w:r>
        <w:rPr>
          <w:rFonts w:hint="eastAsia" w:eastAsia="仿宋_GB2312"/>
          <w:sz w:val="32"/>
          <w:szCs w:val="32"/>
          <w:lang w:eastAsia="zh-CN"/>
        </w:rPr>
        <w:t>千米，支渠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条，总长</w:t>
      </w:r>
      <w:r>
        <w:rPr>
          <w:rFonts w:hint="eastAsia" w:eastAsia="仿宋_GB2312"/>
          <w:sz w:val="32"/>
          <w:szCs w:val="32"/>
          <w:lang w:val="en-US" w:eastAsia="zh-CN"/>
        </w:rPr>
        <w:t>28.87</w:t>
      </w:r>
      <w:r>
        <w:rPr>
          <w:rFonts w:hint="eastAsia" w:eastAsia="仿宋_GB2312"/>
          <w:sz w:val="32"/>
          <w:szCs w:val="32"/>
          <w:lang w:eastAsia="zh-CN"/>
        </w:rPr>
        <w:t>千米，</w:t>
      </w:r>
      <w:r>
        <w:rPr>
          <w:rFonts w:hint="eastAsia" w:eastAsia="仿宋_GB2312"/>
          <w:sz w:val="32"/>
          <w:szCs w:val="32"/>
          <w:lang w:val="en-US" w:eastAsia="zh-CN"/>
        </w:rPr>
        <w:t>干支渠</w:t>
      </w:r>
      <w:r>
        <w:rPr>
          <w:rFonts w:hint="eastAsia" w:eastAsia="仿宋_GB2312"/>
          <w:sz w:val="32"/>
          <w:szCs w:val="32"/>
          <w:lang w:eastAsia="zh-CN"/>
        </w:rPr>
        <w:t>建筑物</w:t>
      </w:r>
      <w:r>
        <w:rPr>
          <w:rFonts w:hint="eastAsia" w:eastAsia="仿宋_GB2312"/>
          <w:sz w:val="32"/>
          <w:szCs w:val="32"/>
          <w:lang w:val="en-US" w:eastAsia="zh-CN"/>
        </w:rPr>
        <w:t>261</w:t>
      </w:r>
      <w:r>
        <w:rPr>
          <w:rFonts w:hint="eastAsia" w:eastAsia="仿宋_GB2312"/>
          <w:sz w:val="32"/>
          <w:szCs w:val="32"/>
          <w:lang w:eastAsia="zh-CN"/>
        </w:rPr>
        <w:t>座。渠系水利用系数为0.</w:t>
      </w:r>
      <w:r>
        <w:rPr>
          <w:rFonts w:hint="eastAsia" w:eastAsia="仿宋_GB2312"/>
          <w:sz w:val="32"/>
          <w:szCs w:val="32"/>
          <w:lang w:val="en-US" w:eastAsia="zh-CN"/>
        </w:rPr>
        <w:t>665，</w:t>
      </w:r>
      <w:r>
        <w:rPr>
          <w:rFonts w:hint="eastAsia" w:eastAsia="仿宋_GB2312"/>
          <w:sz w:val="32"/>
          <w:szCs w:val="32"/>
          <w:lang w:eastAsia="zh-CN"/>
        </w:rPr>
        <w:t>取水许可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00万立方米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平均实灌面积（渠灌）2.</w:t>
      </w:r>
      <w:r>
        <w:rPr>
          <w:rFonts w:hint="eastAsia" w:ascii="仿宋" w:hAnsi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万亩，近年来最大实灌面积2.4万亩，年引水量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立方米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用于农业灌溉，余下用于生态补水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，灌区范围内已实施多处高标准农田建设；</w:t>
      </w:r>
      <w:r>
        <w:rPr>
          <w:rFonts w:hint="eastAsia" w:ascii="仿宋" w:hAnsi="仿宋" w:eastAsia="仿宋" w:cs="仿宋"/>
          <w:sz w:val="32"/>
          <w:szCs w:val="32"/>
        </w:rPr>
        <w:t>田岗灌区是舞钢市粮、棉、蔬菜主要产区，占全市农村经济的60%以上，粮食作物主要以小麦、玉米为主，以林果、蔬菜生产为重点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灌区建成后，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骨干工程及田间工程状况</w:t>
      </w:r>
      <w:r>
        <w:rPr>
          <w:rFonts w:hint="eastAsia" w:ascii="仿宋" w:hAnsi="仿宋" w:eastAsia="仿宋" w:cs="仿宋"/>
          <w:sz w:val="32"/>
          <w:szCs w:val="32"/>
        </w:rPr>
        <w:t>做到旱能灌，涝能排，为灌区农业丰收打下坚实基础。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二、灌区水资源利用及骨干工程现状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石漫滩水库与田岗水库互为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姊妹</w:t>
      </w:r>
      <w:r>
        <w:rPr>
          <w:rFonts w:hint="eastAsia" w:ascii="仿宋" w:hAnsi="仿宋" w:eastAsia="仿宋" w:cs="仿宋"/>
          <w:sz w:val="32"/>
          <w:szCs w:val="32"/>
        </w:rPr>
        <w:t>库，两库蓄水是田岗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灌区</w:t>
      </w:r>
      <w:r>
        <w:rPr>
          <w:rFonts w:hint="eastAsia" w:ascii="仿宋" w:hAnsi="仿宋" w:eastAsia="仿宋" w:cs="仿宋"/>
          <w:sz w:val="32"/>
          <w:szCs w:val="32"/>
        </w:rPr>
        <w:t>的灌溉水源，兴利调节计算成果:总来水量4822万立方米，灌溉用水2957万立方米，扣除蒸发渗漏损失430万立方米，仍需弃水1435万立方米，说明能够满足灌溉用水。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田岗灌区干支渠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长44.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，其中：东干渠3.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，东干一支渠7.57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，东干二支渠10.52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，西干渠12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，西干一支渠6.25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，西干二支渠4.53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，全部采用混凝土防渗衬砌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骨干排水沟长度56千米，建筑物座数310座，渠（沟）工程及建筑物完好率达90%。田岗灌区现状干支渠道设计灌溉面积占灌区耕地面积的76.15%，灌区有效灌溉面积占灌区耕地面积的76.15%，灌区设计灌溉面积范围机电井众多，对田间工程未完善的设计灌溉面积范围的耕地进行灌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三、工程管理情况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（一）灌区管理体制与运行机制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舞钢市</w:t>
      </w:r>
      <w:r>
        <w:rPr>
          <w:rFonts w:hint="eastAsia" w:ascii="仿宋" w:hAnsi="仿宋" w:eastAsia="仿宋" w:cs="仿宋"/>
          <w:sz w:val="32"/>
          <w:szCs w:val="32"/>
        </w:rPr>
        <w:t>田岗灌区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运行中心是田岗灌区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单位，</w:t>
      </w:r>
      <w:r>
        <w:rPr>
          <w:rFonts w:hint="eastAsia" w:ascii="仿宋" w:hAnsi="仿宋" w:eastAsia="仿宋" w:cs="仿宋"/>
          <w:sz w:val="32"/>
          <w:szCs w:val="32"/>
        </w:rPr>
        <w:t>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纯公益性事业单位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人员定编30人，现有在岗人数25人；灌区骨干渠系由舞钢市</w:t>
      </w:r>
      <w:r>
        <w:rPr>
          <w:rFonts w:hint="eastAsia" w:ascii="仿宋" w:hAnsi="仿宋" w:eastAsia="仿宋" w:cs="仿宋"/>
          <w:sz w:val="32"/>
          <w:szCs w:val="32"/>
        </w:rPr>
        <w:t>田岗灌区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运行中心负责管理，田间工程由所在乡镇负责管理。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（二）“两费”落实及使用情况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经费实行财政全额预算管理，人员经费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167.99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</w:t>
      </w:r>
      <w:r>
        <w:rPr>
          <w:rFonts w:hint="eastAsia" w:eastAsia="仿宋_GB2312" w:cs="仿宋_GB2312"/>
          <w:sz w:val="32"/>
          <w:szCs w:val="32"/>
          <w:lang w:eastAsia="zh-CN"/>
        </w:rPr>
        <w:t>到位率100%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年度维养经费根据灌区工程维养实际所需费用，向财政打报告进行解决，</w:t>
      </w:r>
      <w:r>
        <w:rPr>
          <w:rFonts w:hint="eastAsia" w:eastAsia="仿宋_GB2312" w:cs="仿宋_GB2312"/>
          <w:sz w:val="32"/>
          <w:szCs w:val="32"/>
          <w:lang w:eastAsia="zh-CN"/>
        </w:rPr>
        <w:t>20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eastAsia="仿宋_GB2312" w:cs="仿宋_GB2312"/>
          <w:sz w:val="32"/>
          <w:szCs w:val="32"/>
          <w:lang w:eastAsia="zh-CN"/>
        </w:rPr>
        <w:t>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田岗</w:t>
      </w:r>
      <w:r>
        <w:rPr>
          <w:rFonts w:hint="eastAsia" w:eastAsia="仿宋_GB2312" w:cs="仿宋_GB2312"/>
          <w:sz w:val="32"/>
          <w:szCs w:val="32"/>
          <w:lang w:eastAsia="zh-CN"/>
        </w:rPr>
        <w:t>灌区申请年度维修养护经费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17.77</w:t>
      </w:r>
      <w:r>
        <w:rPr>
          <w:rFonts w:hint="eastAsia" w:eastAsia="仿宋_GB2312" w:cs="仿宋_GB2312"/>
          <w:sz w:val="32"/>
          <w:szCs w:val="32"/>
          <w:lang w:eastAsia="zh-CN"/>
        </w:rPr>
        <w:t>万元，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解决东干渠清淤所需费用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（三）灌区标准化评价和节水型灌区创建情况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田岗灌区标准化管理工作方案制定情况：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组织管理方面，</w:t>
      </w:r>
      <w:r>
        <w:rPr>
          <w:rFonts w:hint="eastAsia" w:ascii="仿宋" w:hAnsi="仿宋" w:eastAsia="仿宋" w:cs="仿宋"/>
          <w:sz w:val="32"/>
          <w:szCs w:val="32"/>
        </w:rPr>
        <w:t>管理体制顺畅，管理权限明确，实行管养分离到位，岗位设置合理，人员配备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能满足管理需要，技术工人具备岗位技能要求，实行持证上岗制度，有系统的职工培训计划，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各项规章制度健全，档案管理规范。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安全管理方面，加强对干支渠的管理，防止对渠堤开荒取土、毁坏渠系建筑物的现象发生，加强</w:t>
      </w:r>
      <w:r>
        <w:rPr>
          <w:rFonts w:hint="eastAsia" w:ascii="仿宋" w:hAnsi="仿宋" w:eastAsia="仿宋" w:cs="仿宋"/>
          <w:sz w:val="32"/>
          <w:szCs w:val="32"/>
        </w:rPr>
        <w:t>对管理范围内批准的建设项目监督管理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保证灌区正常运行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重点水域、危险区域警示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标志</w:t>
      </w:r>
      <w:r>
        <w:rPr>
          <w:rFonts w:hint="eastAsia" w:ascii="仿宋" w:hAnsi="仿宋" w:eastAsia="仿宋" w:cs="仿宋"/>
          <w:sz w:val="32"/>
          <w:szCs w:val="32"/>
        </w:rPr>
        <w:t>醒目，预防未成年人溺亡工作措施完善，防汛抗旱责任制落实、岗位责任制明确，重要险工险段有抢险应急预案，险情发现能及时准确报告给上级主管部门，抢险方案落实到位，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不定时</w:t>
      </w:r>
      <w:r>
        <w:rPr>
          <w:rFonts w:hint="eastAsia" w:ascii="仿宋" w:hAnsi="仿宋" w:eastAsia="仿宋" w:cs="仿宋"/>
          <w:sz w:val="32"/>
          <w:szCs w:val="32"/>
        </w:rPr>
        <w:t>对渠道和建筑物进行隐患排查，建立安全隐患台帐，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</w:t>
      </w:r>
      <w:r>
        <w:rPr>
          <w:rFonts w:hint="eastAsia" w:ascii="仿宋" w:hAnsi="仿宋" w:eastAsia="仿宋" w:cs="仿宋"/>
          <w:sz w:val="32"/>
          <w:szCs w:val="32"/>
        </w:rPr>
        <w:t>有安全隐患解决方案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安全生产管理制度，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配有</w:t>
      </w:r>
      <w:r>
        <w:rPr>
          <w:rFonts w:hint="eastAsia" w:ascii="仿宋" w:hAnsi="仿宋" w:eastAsia="仿宋" w:cs="仿宋"/>
          <w:sz w:val="32"/>
          <w:szCs w:val="32"/>
        </w:rPr>
        <w:t>安全生产管理人员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防患于未然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3、工程管理方面，加强灌区</w:t>
      </w:r>
      <w:r>
        <w:rPr>
          <w:rFonts w:hint="eastAsia" w:ascii="仿宋" w:hAnsi="仿宋" w:eastAsia="仿宋" w:cs="仿宋"/>
          <w:sz w:val="32"/>
          <w:szCs w:val="32"/>
        </w:rPr>
        <w:t>日常管理，定期进行运行检查、维修养护，各种记录完整、规范，工程巡护、检查制度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健全</w:t>
      </w:r>
      <w:r>
        <w:rPr>
          <w:rFonts w:hint="eastAsia" w:ascii="仿宋" w:hAnsi="仿宋" w:eastAsia="仿宋" w:cs="仿宋"/>
          <w:sz w:val="32"/>
          <w:szCs w:val="32"/>
        </w:rPr>
        <w:t>，检查记录齐全、清晰、真实、规范，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有灌区工程分布图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灌排工程设施完好率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</w:t>
      </w:r>
      <w:r>
        <w:rPr>
          <w:rFonts w:hint="eastAsia" w:ascii="仿宋" w:hAnsi="仿宋" w:eastAsia="仿宋" w:cs="仿宋"/>
          <w:sz w:val="32"/>
          <w:szCs w:val="32"/>
        </w:rPr>
        <w:t>90%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4、农业节水与供用水管理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大力开展</w:t>
      </w:r>
      <w:r>
        <w:rPr>
          <w:rFonts w:hint="eastAsia" w:ascii="仿宋" w:hAnsi="仿宋" w:eastAsia="仿宋" w:cs="仿宋"/>
          <w:sz w:val="32"/>
          <w:szCs w:val="32"/>
        </w:rPr>
        <w:t>节水宣传活动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推广节水计划，续建配套与节水改造项目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实施后</w:t>
      </w:r>
      <w:r>
        <w:rPr>
          <w:rFonts w:hint="eastAsia" w:ascii="仿宋" w:hAnsi="仿宋" w:eastAsia="仿宋" w:cs="仿宋"/>
          <w:sz w:val="32"/>
          <w:szCs w:val="32"/>
        </w:rPr>
        <w:t>，渠系水利用系数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</w:t>
      </w:r>
      <w:r>
        <w:rPr>
          <w:rFonts w:hint="eastAsia"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665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合理制定</w:t>
      </w:r>
      <w:r>
        <w:rPr>
          <w:rFonts w:hint="eastAsia" w:ascii="仿宋" w:hAnsi="仿宋" w:eastAsia="仿宋" w:cs="仿宋"/>
          <w:sz w:val="32"/>
          <w:szCs w:val="32"/>
        </w:rPr>
        <w:t>引（用）水计划，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有序进行</w:t>
      </w:r>
      <w:r>
        <w:rPr>
          <w:rFonts w:hint="eastAsia" w:ascii="仿宋" w:hAnsi="仿宋" w:eastAsia="仿宋" w:cs="仿宋"/>
          <w:sz w:val="32"/>
          <w:szCs w:val="32"/>
        </w:rPr>
        <w:t>干支渠水量调度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水量调度及时、准确，记录完整。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5、信息化管理，田岗灌区</w:t>
      </w:r>
      <w:r>
        <w:rPr>
          <w:rFonts w:hint="eastAsia" w:ascii="仿宋" w:hAnsi="仿宋" w:eastAsia="仿宋" w:cs="仿宋"/>
          <w:sz w:val="32"/>
          <w:szCs w:val="32"/>
        </w:rPr>
        <w:t>续建配套与节水改造项目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完成后，干支渠及斗门全部安装计量设施，建有水闸远控设施、水闸视频监控设施、调度中心及网络通信中心，</w:t>
      </w:r>
      <w:r>
        <w:rPr>
          <w:rFonts w:hint="eastAsia" w:ascii="仿宋" w:hAnsi="仿宋" w:eastAsia="仿宋" w:cs="仿宋"/>
          <w:sz w:val="32"/>
          <w:szCs w:val="32"/>
        </w:rPr>
        <w:t>办公以及管理设施现代化水平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大有提</w:t>
      </w:r>
      <w:r>
        <w:rPr>
          <w:rFonts w:hint="eastAsia" w:ascii="仿宋" w:hAnsi="仿宋" w:eastAsia="仿宋" w:cs="仿宋"/>
          <w:sz w:val="32"/>
          <w:szCs w:val="32"/>
        </w:rPr>
        <w:t>高，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6、经济管理方面，加强</w:t>
      </w:r>
      <w:r>
        <w:rPr>
          <w:rFonts w:hint="eastAsia" w:ascii="仿宋" w:hAnsi="仿宋" w:eastAsia="仿宋" w:cs="仿宋"/>
          <w:sz w:val="32"/>
          <w:szCs w:val="32"/>
        </w:rPr>
        <w:t>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使用管理</w:t>
      </w:r>
      <w:r>
        <w:rPr>
          <w:rFonts w:hint="eastAsia" w:ascii="仿宋" w:hAnsi="仿宋" w:eastAsia="仿宋" w:cs="仿宋"/>
          <w:sz w:val="32"/>
          <w:szCs w:val="32"/>
        </w:rPr>
        <w:t>，维修养护、运行管理等经费使用规范，财务检查或审计报告中无违规违纪行为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工资能按时发放，按规定落实职工养老、失业、医疗等社会保险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田岗灌区编制有标准化管理方案，并开展标准化管理工作，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所需资料已上报等待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上级评价。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通过田岗灌区</w:t>
      </w:r>
      <w:r>
        <w:rPr>
          <w:rFonts w:hint="eastAsia" w:ascii="仿宋" w:hAnsi="仿宋" w:eastAsia="仿宋" w:cs="仿宋"/>
          <w:sz w:val="32"/>
          <w:szCs w:val="32"/>
        </w:rPr>
        <w:t>续建配套与节水改造项目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的实施，渠系水利用系数为0.665，灌溉水利用系数为0.603，极大地提高了灌区水量供需平衡。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四、用水管理及水价改革情况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（一）供用水管理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田岗灌区年取水许可400万</w:t>
      </w:r>
      <w:r>
        <w:rPr>
          <w:rFonts w:hint="eastAsia" w:ascii="仿宋" w:hAnsi="仿宋" w:eastAsia="仿宋" w:cs="仿宋"/>
          <w:sz w:val="32"/>
          <w:szCs w:val="32"/>
        </w:rPr>
        <w:t>立方米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由于田岗水库正在除险加固，需通过灌区排水，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年度实际引水量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456.66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立方米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，用于农业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灌溉234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立方米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余下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用于生态用水。灌区严格根据用水定额管理、加强供用水管理和调度、渠道防渗能力提高、年节水能力显著。当年实际灌溉面积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1.54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万亩，其中渠灌面积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1.54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（二）农业水价综合改革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田岗</w:t>
      </w:r>
      <w:r>
        <w:rPr>
          <w:rFonts w:hint="eastAsia" w:eastAsia="仿宋_GB2312" w:cs="仿宋_GB2312"/>
          <w:sz w:val="32"/>
          <w:szCs w:val="32"/>
          <w:lang w:eastAsia="zh-CN"/>
        </w:rPr>
        <w:t>灌区农业水价综合改革工作开始于2023年度，2023年</w:t>
      </w:r>
      <w:r>
        <w:rPr>
          <w:rFonts w:hint="eastAsia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sz w:val="32"/>
          <w:szCs w:val="32"/>
          <w:lang w:eastAsia="zh-CN"/>
        </w:rPr>
        <w:t>月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eastAsia="仿宋_GB2312" w:cs="仿宋_GB2312"/>
          <w:sz w:val="32"/>
          <w:szCs w:val="32"/>
          <w:lang w:eastAsia="zh-CN"/>
        </w:rPr>
        <w:t>日，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舞钢市</w:t>
      </w:r>
      <w:r>
        <w:rPr>
          <w:rFonts w:hint="eastAsia" w:eastAsia="仿宋_GB2312" w:cs="仿宋_GB2312"/>
          <w:sz w:val="32"/>
          <w:szCs w:val="32"/>
          <w:lang w:eastAsia="zh-CN"/>
        </w:rPr>
        <w:t>发展和改革委员会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价格和收费审核专项小组审核同意</w:t>
      </w:r>
      <w:r>
        <w:rPr>
          <w:rFonts w:hint="eastAsia" w:eastAsia="仿宋_GB2312" w:cs="仿宋_GB2312"/>
          <w:sz w:val="32"/>
          <w:szCs w:val="32"/>
          <w:lang w:eastAsia="zh-CN"/>
        </w:rPr>
        <w:t>，批复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田岗</w:t>
      </w:r>
      <w:r>
        <w:rPr>
          <w:rFonts w:hint="eastAsia" w:eastAsia="仿宋_GB2312" w:cs="仿宋_GB2312"/>
          <w:sz w:val="32"/>
          <w:szCs w:val="32"/>
          <w:lang w:eastAsia="zh-CN"/>
        </w:rPr>
        <w:t>灌区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终端全成本单位</w:t>
      </w:r>
      <w:r>
        <w:rPr>
          <w:rFonts w:hint="eastAsia" w:eastAsia="仿宋_GB2312" w:cs="仿宋_GB2312"/>
          <w:sz w:val="32"/>
          <w:szCs w:val="32"/>
          <w:lang w:eastAsia="zh-CN"/>
        </w:rPr>
        <w:t>水价0.2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sz w:val="32"/>
          <w:szCs w:val="32"/>
          <w:lang w:eastAsia="zh-CN"/>
        </w:rPr>
        <w:t>元/立方米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由于田岗灌区主要供农业用水，暂未执行水价与水费计收。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（三）灌区量测水设施设备等信息化建设和应用情况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岗灌区信息化建设主要有干支渠及斗门全部安装计量设施，建有水闸远控设施、水闸视频监控设施、调度中心及网络通信中心，功能用于水位、流速数据采集，实现闸门开度的实时采集，动态实时监视现场的水情和工情环境，实现信息展示、查询，远程控制水量调度，为灌区用水调度、防汛抗洪等工作提供有力的支持，投资310.53万元；灌区一张图数据入库、工程上图正在逐步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五、投资改造情况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舞钢市2010－2011年小型农田水利重点县建设项目，其中用于田岗灌区田间工程的建设资金共1482.14万元，建设斗农渠130.82千米, 其中渠道衬砌23.68千米，各类建筑物1376座。通过两年灌区田间工程的实施，新增恢复灌溉面积3.25万亩，改善灌溉面积6.9万亩。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舞钢市田岗灌区</w:t>
      </w:r>
      <w:r>
        <w:rPr>
          <w:rFonts w:hint="eastAsia" w:ascii="仿宋" w:hAnsi="仿宋" w:eastAsia="仿宋" w:cs="仿宋"/>
          <w:sz w:val="32"/>
          <w:szCs w:val="32"/>
        </w:rPr>
        <w:t>续建配套与节水改造项目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2021-2022年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工程总投资8027.11万元，主要建设内容有渠道工程、排水工程、渠（沟）建筑物与渠系配套设施整修工程、用水量测安装工程、管理设施建设维修工程、堤顶道路硬化及穿渠坑塘整治工程，通过项目实施，</w:t>
      </w:r>
      <w:r>
        <w:rPr>
          <w:rFonts w:hint="eastAsia" w:eastAsia="仿宋_GB2312"/>
          <w:sz w:val="32"/>
          <w:szCs w:val="32"/>
          <w:lang w:eastAsia="zh-CN"/>
        </w:rPr>
        <w:t>渠系水利用系数</w:t>
      </w:r>
      <w:r>
        <w:rPr>
          <w:rFonts w:hint="eastAsia" w:eastAsia="仿宋_GB2312"/>
          <w:sz w:val="32"/>
          <w:szCs w:val="32"/>
          <w:lang w:val="en-US" w:eastAsia="zh-CN"/>
        </w:rPr>
        <w:t>提高到</w:t>
      </w:r>
      <w:r>
        <w:rPr>
          <w:rFonts w:hint="eastAsia" w:eastAsia="仿宋_GB2312"/>
          <w:sz w:val="32"/>
          <w:szCs w:val="32"/>
          <w:lang w:eastAsia="zh-CN"/>
        </w:rPr>
        <w:t>0.</w:t>
      </w:r>
      <w:r>
        <w:rPr>
          <w:rFonts w:hint="eastAsia" w:eastAsia="仿宋_GB2312"/>
          <w:sz w:val="32"/>
          <w:szCs w:val="32"/>
          <w:lang w:val="en-US" w:eastAsia="zh-CN"/>
        </w:rPr>
        <w:t>665，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可恢复灌溉面积2.91万亩，改善灌溉面积6万亩，新增节水能力116万</w:t>
      </w:r>
      <w:r>
        <w:rPr>
          <w:rFonts w:hint="eastAsia" w:ascii="仿宋" w:hAnsi="仿宋" w:eastAsia="仿宋" w:cs="仿宋"/>
          <w:sz w:val="32"/>
          <w:szCs w:val="32"/>
        </w:rPr>
        <w:t>立方米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主要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典型</w:t>
      </w:r>
      <w:r>
        <w:rPr>
          <w:rFonts w:hint="eastAsia" w:ascii="黑体" w:hAnsi="黑体" w:eastAsia="黑体" w:cs="黑体"/>
          <w:bCs/>
          <w:sz w:val="32"/>
          <w:szCs w:val="32"/>
        </w:rPr>
        <w:t>经验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田岗灌区续建配套与节水改造工程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，完成东、西干渠和4条支渠渠道整治，完成渠系建筑物的新建、重建、维修，完成8条排水沟的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清淤疏浚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，完善了灌排工程体系建设，提高了水资源利用率；区域内沟、塘、渠连通且常年蓄水，可形成坑塘水面约12万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，建设3条生态引退水渠，改善了生态环境，加大了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系建设，逐步发展成现代化生态灌区，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使灌区范围内实现水系连通，让灌区不仅能灌溉，还能进行生态补水，充分发挥灌区效益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存在问题及建议</w:t>
      </w:r>
    </w:p>
    <w:p>
      <w:pPr>
        <w:ind w:firstLine="560" w:firstLineChars="200"/>
        <w:rPr>
          <w:rFonts w:hint="eastAsia" w:ascii="宋体" w:hAnsi="宋体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存在问题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1、管理经费不足。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灌区</w:t>
      </w:r>
      <w:r>
        <w:rPr>
          <w:rFonts w:hint="eastAsia" w:ascii="仿宋" w:hAnsi="仿宋" w:eastAsia="仿宋" w:cs="仿宋"/>
          <w:sz w:val="32"/>
          <w:szCs w:val="32"/>
        </w:rPr>
        <w:t>缺乏后续资金支持，维修养护资金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紧张</w:t>
      </w:r>
      <w:r>
        <w:rPr>
          <w:rFonts w:hint="eastAsia" w:ascii="仿宋" w:hAnsi="仿宋" w:eastAsia="仿宋" w:cs="仿宋"/>
          <w:sz w:val="32"/>
          <w:szCs w:val="32"/>
        </w:rPr>
        <w:t>，致使部分被损坏的渠道和水利设施无法得以修复，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影响</w:t>
      </w:r>
      <w:r>
        <w:rPr>
          <w:rFonts w:hint="eastAsia" w:ascii="仿宋" w:hAnsi="仿宋" w:eastAsia="仿宋" w:cs="仿宋"/>
          <w:sz w:val="32"/>
          <w:szCs w:val="32"/>
        </w:rPr>
        <w:t>灌溉效益。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２、工程管护困难。灌区干支渠全长44.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千米</w:t>
      </w:r>
      <w:r>
        <w:rPr>
          <w:rFonts w:hint="eastAsia" w:ascii="仿宋" w:hAnsi="仿宋" w:eastAsia="仿宋" w:cs="仿宋"/>
          <w:sz w:val="32"/>
          <w:szCs w:val="32"/>
        </w:rPr>
        <w:t>，由于管理战线长，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偏</w:t>
      </w:r>
      <w:r>
        <w:rPr>
          <w:rFonts w:hint="eastAsia" w:ascii="仿宋" w:hAnsi="仿宋" w:eastAsia="仿宋" w:cs="仿宋"/>
          <w:sz w:val="32"/>
          <w:szCs w:val="32"/>
        </w:rPr>
        <w:t>少，管理起来难度较大。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３、灌区工程建成后，由于没有划边定界，和周边村庄地界不清，管理难度加大，毁坏、盗窃水利设施等行为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有发生。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）建议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１、对灌区渠道系统划边定界，规范灌区管理。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２、确保维修养护经费如期到位，及时修复、维护灌区出现的工程破损问题，保证灌区正常运行。</w:t>
      </w:r>
    </w:p>
    <w:p>
      <w:pPr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３、加强宣传力度，增强农民节水意识。防查结合，依法打击各类破坏水利工程设施的违法行为，确保灌区的正常运行。</w:t>
      </w:r>
    </w:p>
    <w:p>
      <w:pPr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４、加强业务培训，提高管理水平。</w:t>
      </w:r>
    </w:p>
    <w:p>
      <w:pPr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５、坚持建设、管理、受益相结合的原则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力争做到建管并重，使工程发挥最大效益。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八、</w:t>
      </w:r>
      <w:r>
        <w:rPr>
          <w:rFonts w:hint="eastAsia" w:ascii="黑体" w:hAnsi="黑体" w:eastAsia="黑体" w:cs="黑体"/>
          <w:bCs/>
          <w:sz w:val="32"/>
          <w:szCs w:val="32"/>
        </w:rPr>
        <w:t>审计等发现问题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无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34608629">
    <w:nsid w:val="676406F5"/>
    <w:multiLevelType w:val="singleLevel"/>
    <w:tmpl w:val="676406F5"/>
    <w:lvl w:ilvl="0" w:tentative="1">
      <w:start w:val="7"/>
      <w:numFmt w:val="chineseCounting"/>
      <w:suff w:val="nothing"/>
      <w:lvlText w:val="%1、"/>
      <w:lvlJc w:val="left"/>
    </w:lvl>
  </w:abstractNum>
  <w:abstractNum w:abstractNumId="1734600288">
    <w:nsid w:val="6763E660"/>
    <w:multiLevelType w:val="singleLevel"/>
    <w:tmpl w:val="6763E660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734600288"/>
  </w:num>
  <w:num w:numId="2">
    <w:abstractNumId w:val="17346086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85969"/>
    <w:rsid w:val="54471B54"/>
    <w:rsid w:val="563E1EB7"/>
    <w:rsid w:val="6AC859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2025-12-22T02:39:00Z</dcterms:created>
  <dc:creator>admin</dc:creator>
  <cp:lastModifiedBy>admin</cp:lastModifiedBy>
  <dcterms:modified xsi:type="dcterms:W3CDTF">2025-12-22T08:16:21Z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